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both"/>
        <w:rPr>
          <w:rFonts w:ascii="Times New Roman" w:eastAsia="宋体" w:cs="Times New Roman"/>
          <w:b/>
          <w:bCs/>
          <w:sz w:val="84"/>
          <w:szCs w:val="84"/>
        </w:rPr>
      </w:pPr>
      <w:r/>
      <w:bookmarkStart w:id="0" w:name="_Toc383679746"/>
      <w:r/>
      <w:bookmarkStart w:id="1" w:name="_Toc390099018"/>
      <w:r/>
      <w:bookmarkStart w:id="2" w:name="_Toc426469868"/>
      <w:r/>
      <w:bookmarkStart w:id="3" w:name="_Toc383587456"/>
      <w:r/>
      <w:bookmarkStart w:id="4" w:name="_Toc390098840"/>
      <w:r/>
      <w:bookmarkStart w:id="5" w:name="_Toc390246905"/>
      <w:r/>
      <w:bookmarkStart w:id="6" w:name="_Toc383623944"/>
      <w:r/>
      <w:bookmarkStart w:id="7" w:name="_Toc383698647"/>
      <w:r/>
      <w:bookmarkStart w:id="8" w:name="_Toc383625993"/>
      <w:r/>
      <w:bookmarkStart w:id="9" w:name="_Toc383623672"/>
      <w:r>
        <w:rPr>
          <w:rFonts w:hint="eastAsia" w:ascii="Times New Roman" w:eastAsia="宋体" w:cs="Times New Roman"/>
          <w:b/>
          <w:bCs/>
          <w:sz w:val="84"/>
          <w:szCs w:val="84"/>
        </w:rPr>
        <w:t xml:space="preserve">   </w:t>
      </w:r>
      <w:r/>
    </w:p>
    <w:p>
      <w:pPr>
        <w:pStyle w:val="912"/>
        <w:jc w:val="center"/>
        <w:rPr>
          <w:rFonts w:ascii="Times New Roman" w:eastAsia="宋体" w:cs="Times New Roman"/>
          <w:b/>
          <w:bCs/>
          <w:sz w:val="84"/>
          <w:szCs w:val="84"/>
        </w:rPr>
      </w:pPr>
      <w:r>
        <w:rPr>
          <w:rFonts w:ascii="Times New Roman" w:eastAsia="宋体" w:cs="Times New Roman"/>
          <w:b/>
          <w:bCs/>
          <w:sz w:val="84"/>
          <w:szCs w:val="84"/>
        </w:rPr>
      </w:r>
      <w:r/>
    </w:p>
    <w:p>
      <w:pPr>
        <w:pStyle w:val="912"/>
        <w:jc w:val="center"/>
        <w:rPr>
          <w:rFonts w:ascii="Times New Roman" w:eastAsia="宋体" w:cs="Times New Roman"/>
          <w:b/>
          <w:bCs/>
          <w:sz w:val="84"/>
          <w:szCs w:val="84"/>
        </w:rPr>
      </w:pPr>
      <w:r>
        <w:rPr>
          <w:rFonts w:hint="eastAsia" w:ascii="Times New Roman" w:eastAsia="宋体" w:cs="Times New Roman"/>
          <w:b/>
          <w:bCs/>
          <w:sz w:val="84"/>
          <w:szCs w:val="84"/>
        </w:rPr>
        <w:t xml:space="preserve">招 标 文 件</w:t>
      </w:r>
      <w:r/>
    </w:p>
    <w:p>
      <w:pPr>
        <w:pStyle w:val="912"/>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912"/>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widowControl/>
        <w:rPr>
          <w:b/>
          <w:bCs/>
          <w:sz w:val="44"/>
          <w:szCs w:val="44"/>
        </w:rPr>
      </w:pPr>
      <w:r>
        <w:rPr>
          <w:rFonts w:hint="eastAsia"/>
          <w:b/>
          <w:bCs/>
          <w:sz w:val="44"/>
          <w:szCs w:val="44"/>
        </w:rPr>
        <w:t xml:space="preserve">项目名称：泰兴市人民法院定制审判桌椅及通用办公家具采购项目（高新区人民法庭）</w:t>
      </w:r>
      <w:r/>
    </w:p>
    <w:p>
      <w:pPr>
        <w:ind w:left="2266" w:hanging="2266"/>
        <w:jc w:val="left"/>
        <w:widowControl/>
        <w:rPr>
          <w:rFonts w:hint="eastAsia" w:ascii="宋体" w:hAnsi="宋体" w:eastAsia="宋体" w:cs="宋体"/>
          <w:b/>
          <w:bCs/>
          <w:sz w:val="44"/>
          <w:szCs w:val="44"/>
          <w:lang w:eastAsia="zh-CN"/>
        </w:rPr>
      </w:pPr>
      <w:r>
        <w:rPr>
          <w:rFonts w:hint="eastAsia"/>
          <w:b/>
          <w:bCs/>
          <w:sz w:val="44"/>
          <w:szCs w:val="44"/>
        </w:rPr>
        <w:t xml:space="preserve">项目编号：</w:t>
      </w:r>
      <w:r>
        <w:rPr>
          <w:rFonts w:hint="eastAsia" w:ascii="宋体" w:hAnsi="宋体" w:eastAsia="宋体" w:cs="宋体"/>
          <w:b/>
          <w:bCs/>
          <w:sz w:val="44"/>
          <w:szCs w:val="44"/>
        </w:rPr>
        <w:t xml:space="preserve">JSZC-321283-JZCG-G2025-003</w:t>
      </w:r>
      <w:r>
        <w:rPr>
          <w:rFonts w:hint="eastAsia" w:ascii="宋体" w:hAnsi="宋体" w:cs="宋体"/>
          <w:b/>
          <w:bCs/>
          <w:sz w:val="44"/>
          <w:szCs w:val="44"/>
          <w:lang w:val="en-US" w:eastAsia="zh-CN"/>
        </w:rPr>
        <w:t xml:space="preserve">8</w:t>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ind w:left="2266" w:hanging="2266"/>
        <w:jc w:val="center"/>
        <w:widowControl/>
        <w:rPr>
          <w:b/>
          <w:bCs/>
          <w:sz w:val="36"/>
          <w:szCs w:val="36"/>
        </w:rPr>
      </w:pPr>
      <w:r>
        <w:rPr>
          <w:rFonts w:hint="eastAsia"/>
          <w:b/>
          <w:bCs/>
          <w:sz w:val="36"/>
          <w:szCs w:val="36"/>
        </w:rPr>
        <w:t xml:space="preserve">泰兴市人民法院</w:t>
      </w:r>
      <w:r/>
    </w:p>
    <w:p>
      <w:pPr>
        <w:ind w:left="2266" w:hanging="2266"/>
        <w:jc w:val="center"/>
        <w:widowControl/>
        <w:rPr>
          <w:b/>
          <w:bCs/>
          <w:sz w:val="36"/>
          <w:szCs w:val="36"/>
        </w:rPr>
      </w:pPr>
      <w:r>
        <w:rPr>
          <w:rFonts w:hint="eastAsia"/>
          <w:b/>
          <w:bCs/>
          <w:sz w:val="36"/>
          <w:szCs w:val="36"/>
        </w:rPr>
        <w:t xml:space="preserve">二〇二五年十一月</w:t>
      </w:r>
      <w:r/>
    </w:p>
    <w:p>
      <w:pPr>
        <w:pStyle w:val="749"/>
        <w:ind w:left="0" w:firstLine="0"/>
        <w:jc w:val="center"/>
        <w:spacing w:line="500" w:lineRule="exact"/>
        <w:tabs>
          <w:tab w:val="left" w:pos="3240" w:leader="none"/>
        </w:tabs>
        <w:rPr>
          <w:rFonts w:ascii="微软雅黑" w:hAnsi="微软雅黑" w:eastAsia="微软雅黑" w:cs="微软雅黑"/>
          <w:b/>
          <w:color w:val="auto"/>
        </w:rPr>
        <w:outlineLvl w:val="0"/>
      </w:pPr>
      <w:r>
        <w:rPr>
          <w:rFonts w:ascii="微软雅黑" w:hAnsi="微软雅黑" w:eastAsia="微软雅黑" w:cs="微软雅黑"/>
          <w:b/>
          <w:color w:val="auto"/>
        </w:rPr>
      </w:r>
      <w:r/>
    </w:p>
    <w:p>
      <w:pPr>
        <w:pStyle w:val="749"/>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jc w:val="center"/>
        <w:widowControl/>
        <w:rPr>
          <w:rFonts w:ascii="黑体" w:hAnsi="黑体" w:eastAsia="黑体" w:cs="黑体"/>
          <w:b/>
          <w:sz w:val="36"/>
          <w:szCs w:val="36"/>
        </w:rPr>
      </w:pPr>
      <w:r>
        <w:rPr>
          <w:rFonts w:ascii="黑体" w:hAnsi="黑体" w:eastAsia="黑体"/>
          <w:b/>
        </w:rPr>
        <w:br w:type="page" w:clear="all"/>
      </w:r>
      <w:r>
        <w:rPr>
          <w:rFonts w:hint="eastAsia" w:ascii="黑体" w:hAnsi="黑体" w:eastAsia="黑体" w:cs="黑体"/>
          <w:b/>
          <w:sz w:val="36"/>
          <w:szCs w:val="36"/>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cs="黑体"/>
          <w:b/>
          <w:sz w:val="36"/>
          <w:szCs w:val="36"/>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35393790"/>
      <w:r/>
      <w:bookmarkStart w:id="11" w:name="_Toc28359002"/>
      <w:r/>
      <w:bookmarkStart w:id="12" w:name="_Toc35393621"/>
      <w:r/>
      <w:bookmarkStart w:id="13" w:name="_Toc28359079"/>
      <w:r/>
      <w:bookmarkStart w:id="14" w:name="_Hlk24379207"/>
      <w:r>
        <w:rPr>
          <w:rFonts w:hint="eastAsia" w:ascii="宋体" w:hAnsi="宋体" w:cs="宋体"/>
          <w:color w:val="000000"/>
          <w:sz w:val="28"/>
          <w:szCs w:val="28"/>
          <w:u w:val="single"/>
          <w:lang w:bidi="ar"/>
        </w:rPr>
        <w:t xml:space="preserve">泰兴市人民法院定制审判桌椅及通用办公家具采购项目（高新区人民法庭）JSZC-321283-JZCG-G2025-003</w:t>
      </w:r>
      <w:r>
        <w:rPr>
          <w:rFonts w:hint="eastAsia" w:ascii="宋体" w:hAnsi="宋体" w:cs="宋体"/>
          <w:color w:val="000000"/>
          <w:sz w:val="28"/>
          <w:szCs w:val="28"/>
          <w:u w:val="single"/>
          <w:lang w:val="en-US" w:eastAsia="zh-CN" w:bidi="ar"/>
        </w:rPr>
        <w:t xml:space="preserve">8</w:t>
      </w:r>
      <w:r>
        <w:rPr>
          <w:rFonts w:hint="eastAsia" w:ascii="宋体" w:hAnsi="宋体"/>
          <w:sz w:val="28"/>
          <w:szCs w:val="28"/>
        </w:rPr>
        <w:t xml:space="preserve">招标项目的潜在供应商应在苏采云获取招标文件，并于</w:t>
      </w:r>
      <w:r>
        <w:rPr>
          <w:rFonts w:hint="eastAsia" w:ascii="宋体" w:hAnsi="宋体"/>
          <w:color w:val="auto"/>
          <w:sz w:val="28"/>
          <w:szCs w:val="28"/>
        </w:rPr>
        <w:t xml:space="preserve">2025-1</w:t>
      </w:r>
      <w:r>
        <w:rPr>
          <w:rFonts w:hint="eastAsia" w:ascii="宋体" w:hAnsi="宋体"/>
          <w:color w:val="auto"/>
          <w:sz w:val="28"/>
          <w:szCs w:val="28"/>
          <w:lang w:val="en-US" w:eastAsia="zh-CN"/>
        </w:rPr>
        <w:t xml:space="preserve">2</w:t>
      </w:r>
      <w:r>
        <w:rPr>
          <w:rFonts w:hint="eastAsia" w:ascii="宋体" w:hAnsi="宋体"/>
          <w:color w:val="auto"/>
          <w:sz w:val="28"/>
          <w:szCs w:val="28"/>
        </w:rPr>
        <w:t xml:space="preserve">-1</w:t>
      </w:r>
      <w:r>
        <w:rPr>
          <w:rFonts w:hint="eastAsia" w:ascii="宋体" w:hAnsi="宋体"/>
          <w:color w:val="auto"/>
          <w:sz w:val="28"/>
          <w:szCs w:val="28"/>
          <w:lang w:val="en-US" w:eastAsia="zh-CN"/>
        </w:rPr>
        <w:t xml:space="preserve">1</w:t>
      </w:r>
      <w:r>
        <w:rPr>
          <w:rFonts w:hint="eastAsia" w:ascii="宋体" w:hAnsi="宋体"/>
          <w:color w:val="auto"/>
          <w:sz w:val="28"/>
          <w:szCs w:val="28"/>
        </w:rPr>
        <w:t xml:space="preserve">  09:00</w:t>
      </w:r>
      <w:r>
        <w:rPr>
          <w:rFonts w:hint="eastAsia" w:ascii="宋体" w:hAnsi="宋体"/>
          <w:sz w:val="28"/>
          <w:szCs w:val="28"/>
        </w:rPr>
        <w:t xml:space="preserve">（北京时间）前递交投标文件。</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一、项目基本情况</w:t>
      </w:r>
      <w:bookmarkEnd w:id="10"/>
      <w:r/>
      <w:bookmarkEnd w:id="11"/>
      <w:r/>
      <w:bookmarkEnd w:id="12"/>
      <w:r/>
      <w:bookmarkEnd w:id="13"/>
      <w:r/>
      <w:r/>
    </w:p>
    <w:p>
      <w:pPr>
        <w:ind w:firstLine="560"/>
        <w:spacing w:line="460" w:lineRule="exact"/>
        <w:rPr>
          <w:rFonts w:ascii="宋体" w:hAnsi="宋体" w:cs="宋体"/>
          <w:sz w:val="28"/>
          <w:szCs w:val="28"/>
        </w:rPr>
      </w:pPr>
      <w:r>
        <w:rPr>
          <w:rFonts w:hint="eastAsia" w:ascii="宋体" w:hAnsi="宋体" w:cs="宋体"/>
          <w:sz w:val="28"/>
          <w:szCs w:val="28"/>
        </w:rPr>
        <w:t xml:space="preserve">项目编号：JSZC-321283-JZCG-G2025-003</w:t>
      </w:r>
      <w:r>
        <w:rPr>
          <w:rFonts w:hint="eastAsia" w:ascii="宋体" w:hAnsi="宋体" w:cs="宋体"/>
          <w:sz w:val="28"/>
          <w:szCs w:val="28"/>
          <w:lang w:val="en-US" w:eastAsia="zh-CN"/>
        </w:rPr>
        <w:t xml:space="preserve">8</w:t>
      </w:r>
      <w:r/>
    </w:p>
    <w:p>
      <w:pPr>
        <w:ind w:firstLine="560"/>
        <w:spacing w:line="460" w:lineRule="exact"/>
        <w:rPr>
          <w:rFonts w:ascii="宋体" w:hAnsi="宋体" w:cs="宋体"/>
          <w:color w:val="000000"/>
          <w:sz w:val="28"/>
          <w:szCs w:val="28"/>
          <w:lang w:bidi="ar"/>
        </w:rPr>
      </w:pPr>
      <w:r>
        <w:rPr>
          <w:rFonts w:hint="eastAsia" w:ascii="宋体" w:hAnsi="宋体" w:cs="宋体"/>
          <w:sz w:val="28"/>
          <w:szCs w:val="28"/>
        </w:rPr>
        <w:t xml:space="preserve">项目名称：</w:t>
      </w:r>
      <w:bookmarkEnd w:id="14"/>
      <w:r>
        <w:rPr>
          <w:rFonts w:hint="eastAsia" w:ascii="宋体" w:hAnsi="宋体" w:cs="宋体"/>
          <w:color w:val="000000"/>
          <w:sz w:val="28"/>
          <w:szCs w:val="28"/>
          <w:lang w:bidi="ar"/>
        </w:rPr>
        <w:t xml:space="preserve">泰兴市人民法院定制审判桌椅及通用办公家具采购项目（高新区人民法庭）</w:t>
      </w:r>
      <w:r/>
    </w:p>
    <w:p>
      <w:pPr>
        <w:ind w:firstLine="560"/>
        <w:spacing w:line="460" w:lineRule="exact"/>
        <w:rPr>
          <w:rFonts w:ascii="宋体" w:hAnsi="宋体" w:cs="宋体"/>
          <w:sz w:val="28"/>
          <w:szCs w:val="28"/>
        </w:rPr>
      </w:pPr>
      <w:r>
        <w:rPr>
          <w:rFonts w:hint="eastAsia" w:ascii="宋体" w:hAnsi="宋体" w:cs="宋体"/>
          <w:sz w:val="28"/>
          <w:szCs w:val="28"/>
        </w:rPr>
        <w:t xml:space="preserve">预算金额：</w:t>
      </w:r>
      <w:r>
        <w:rPr>
          <w:rFonts w:ascii="宋体" w:hAnsi="宋体" w:cs="宋体"/>
          <w:sz w:val="28"/>
          <w:szCs w:val="28"/>
        </w:rPr>
        <w:t xml:space="preserve">100</w:t>
      </w:r>
      <w:r>
        <w:rPr>
          <w:rFonts w:hint="eastAsia" w:ascii="宋体" w:hAnsi="宋体" w:cs="宋体"/>
          <w:sz w:val="28"/>
          <w:szCs w:val="28"/>
        </w:rPr>
        <w:t xml:space="preserve">万元。</w:t>
      </w:r>
      <w:r/>
    </w:p>
    <w:p>
      <w:pPr>
        <w:ind w:firstLine="560"/>
        <w:spacing w:line="460" w:lineRule="exact"/>
        <w:rPr>
          <w:rFonts w:ascii="宋体" w:hAnsi="宋体" w:cs="宋体"/>
          <w:sz w:val="28"/>
          <w:szCs w:val="28"/>
        </w:rPr>
      </w:pPr>
      <w:r/>
      <w:bookmarkStart w:id="534" w:name="_GoBack"/>
      <w:r/>
      <w:bookmarkEnd w:id="534"/>
      <w:r>
        <w:rPr>
          <w:rFonts w:hint="eastAsia" w:ascii="宋体" w:hAnsi="宋体" w:cs="宋体"/>
          <w:sz w:val="28"/>
          <w:szCs w:val="28"/>
        </w:rPr>
        <w:t xml:space="preserve">最高限价：</w:t>
      </w:r>
      <w:r>
        <w:rPr>
          <w:rFonts w:ascii="宋体" w:hAnsi="宋体" w:cs="宋体"/>
          <w:sz w:val="28"/>
          <w:szCs w:val="28"/>
        </w:rPr>
        <w:t xml:space="preserve">95.083</w:t>
      </w:r>
      <w:r>
        <w:rPr>
          <w:rFonts w:hint="eastAsia" w:ascii="宋体" w:hAnsi="宋体" w:cs="宋体"/>
          <w:sz w:val="28"/>
          <w:szCs w:val="28"/>
        </w:rPr>
        <w:t xml:space="preserve">万元。</w:t>
      </w:r>
      <w:r/>
    </w:p>
    <w:p>
      <w:pPr>
        <w:ind w:firstLine="560"/>
        <w:spacing w:line="460" w:lineRule="exact"/>
        <w:rPr>
          <w:rFonts w:ascii="宋体" w:hAnsi="宋体" w:cs="宋体"/>
          <w:sz w:val="28"/>
          <w:szCs w:val="28"/>
        </w:rPr>
      </w:pPr>
      <w:r>
        <w:rPr>
          <w:rFonts w:hint="eastAsia" w:ascii="宋体" w:hAnsi="宋体" w:cs="宋体"/>
          <w:sz w:val="28"/>
          <w:szCs w:val="28"/>
        </w:rPr>
        <w:t xml:space="preserve">采购需求：本项目主要采购</w:t>
      </w:r>
      <w:r>
        <w:rPr>
          <w:rFonts w:hint="eastAsia" w:ascii="宋体" w:hAnsi="宋体" w:cs="宋体"/>
          <w:color w:val="000000"/>
          <w:sz w:val="28"/>
          <w:szCs w:val="28"/>
          <w:lang w:bidi="ar"/>
        </w:rPr>
        <w:t xml:space="preserve">泰兴市人民法院定制审判桌椅及通用办公家具</w:t>
      </w:r>
      <w:r>
        <w:rPr>
          <w:rFonts w:hint="eastAsia" w:ascii="宋体" w:hAnsi="宋体" w:cs="宋体"/>
          <w:sz w:val="28"/>
          <w:szCs w:val="28"/>
        </w:rPr>
        <w:t xml:space="preserve">（详细内容见本招标文件第五章）。</w:t>
      </w:r>
      <w:r/>
    </w:p>
    <w:p>
      <w:pPr>
        <w:ind w:firstLine="560"/>
        <w:spacing w:line="460" w:lineRule="exact"/>
        <w:rPr>
          <w:rFonts w:ascii="宋体" w:hAnsi="宋体" w:cs="宋体"/>
          <w:sz w:val="28"/>
          <w:szCs w:val="28"/>
        </w:rPr>
      </w:pPr>
      <w:r>
        <w:rPr>
          <w:rFonts w:hint="eastAsia" w:ascii="宋体" w:hAnsi="宋体" w:cs="宋体"/>
          <w:sz w:val="28"/>
          <w:szCs w:val="28"/>
        </w:rPr>
        <w:t xml:space="preserve">合同履行期限：合同签订后20日内供应商将设备、材料等运送到采购方指定地点并完成安装调试，交付使用</w:t>
      </w:r>
      <w:r>
        <w:rPr>
          <w:rFonts w:hint="eastAsia" w:ascii="宋体" w:hAnsi="宋体" w:cs="宋体"/>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本项目（是/否）接受联合体投标：不接受联合体。</w:t>
      </w:r>
      <w:r/>
    </w:p>
    <w:p>
      <w:pPr>
        <w:ind w:firstLine="643"/>
        <w:spacing w:line="460" w:lineRule="exact"/>
        <w:rPr>
          <w:rFonts w:asciiTheme="minorEastAsia" w:hAnsiTheme="minorEastAsia" w:eastAsiaTheme="minorEastAsia" w:cstheme="minorEastAsia"/>
          <w:b/>
          <w:sz w:val="32"/>
          <w:szCs w:val="32"/>
        </w:rPr>
      </w:pPr>
      <w:r/>
      <w:bookmarkStart w:id="15" w:name="_Toc28359080"/>
      <w:r/>
      <w:bookmarkStart w:id="16" w:name="_Toc28359003"/>
      <w:r/>
      <w:bookmarkStart w:id="17" w:name="_Toc35393791"/>
      <w:r/>
      <w:bookmarkStart w:id="18" w:name="_Toc35393622"/>
      <w:r>
        <w:rPr>
          <w:rFonts w:hint="eastAsia" w:asciiTheme="minorEastAsia" w:hAnsiTheme="minorEastAsia" w:eastAsiaTheme="minorEastAsia" w:cstheme="minorEastAsia"/>
          <w:b/>
          <w:sz w:val="32"/>
          <w:szCs w:val="32"/>
        </w:rPr>
        <w:t xml:space="preserve">二、申请人的资格要求：</w:t>
      </w:r>
      <w:bookmarkEnd w:id="15"/>
      <w:r/>
      <w:bookmarkEnd w:id="16"/>
      <w:r/>
      <w:bookmarkEnd w:id="17"/>
      <w:r/>
      <w:bookmarkEnd w:id="18"/>
      <w:r/>
      <w:r/>
    </w:p>
    <w:p>
      <w:pPr>
        <w:ind w:firstLine="560"/>
        <w:spacing w:line="460" w:lineRule="exact"/>
        <w:rPr>
          <w:rFonts w:ascii="宋体" w:hAnsi="宋体" w:cs="宋体"/>
          <w:sz w:val="28"/>
          <w:szCs w:val="28"/>
        </w:rPr>
      </w:pPr>
      <w:r/>
      <w:bookmarkStart w:id="19" w:name="_Toc28359008"/>
      <w:r/>
      <w:bookmarkStart w:id="20" w:name="_Toc28359085"/>
      <w:r/>
      <w:bookmarkStart w:id="21" w:name="_Toc35393796"/>
      <w:r/>
      <w:bookmarkStart w:id="22" w:name="_Toc35393627"/>
      <w:r>
        <w:rPr>
          <w:rFonts w:hint="eastAsia" w:ascii="宋体" w:hAnsi="宋体" w:cs="宋体"/>
          <w:sz w:val="28"/>
          <w:szCs w:val="28"/>
        </w:rPr>
        <w:t xml:space="preserve">（一）满足《中华人民共和国政府采购法》第二十二条规定：</w:t>
      </w:r>
      <w:r/>
    </w:p>
    <w:p>
      <w:pPr>
        <w:ind w:firstLine="560"/>
        <w:spacing w:line="46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460" w:lineRule="exact"/>
        <w:rPr>
          <w:rFonts w:ascii="宋体" w:hAnsi="宋体" w:cs="宋体"/>
          <w:sz w:val="28"/>
          <w:szCs w:val="28"/>
        </w:rPr>
      </w:pPr>
      <w:r>
        <w:rPr>
          <w:rFonts w:hint="eastAsia" w:ascii="宋体" w:hAnsi="宋体" w:cs="宋体"/>
          <w:sz w:val="28"/>
          <w:szCs w:val="28"/>
        </w:rPr>
        <w:t xml:space="preserve">（二）落实政府采购政策需满足的资格要求：本项目为非专门面向中小企业的项目。</w:t>
      </w:r>
      <w:r/>
    </w:p>
    <w:p>
      <w:pPr>
        <w:ind w:firstLine="560"/>
        <w:spacing w:line="460" w:lineRule="exact"/>
        <w:rPr>
          <w:rFonts w:ascii="宋体" w:hAnsi="宋体" w:cs="宋体"/>
          <w:sz w:val="28"/>
          <w:szCs w:val="28"/>
        </w:rPr>
      </w:pPr>
      <w:r>
        <w:rPr>
          <w:rFonts w:hint="eastAsia" w:ascii="宋体" w:hAnsi="宋体" w:cs="宋体"/>
          <w:sz w:val="28"/>
          <w:szCs w:val="28"/>
        </w:rPr>
        <w:t xml:space="preserve">（三）本项目的特定资格要求：无。</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三、获取招标文件</w:t>
      </w:r>
      <w:r/>
    </w:p>
    <w:p>
      <w:pPr>
        <w:ind w:firstLine="560"/>
        <w:spacing w:line="460" w:lineRule="exact"/>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地点：“苏采云”政府采购一体化平台</w:t>
      </w:r>
      <w:r/>
    </w:p>
    <w:p>
      <w:pPr>
        <w:ind w:firstLine="560"/>
        <w:spacing w:line="46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460" w:lineRule="exact"/>
        <w:rPr>
          <w:rFonts w:ascii="宋体" w:hAnsi="宋体" w:cs="宋体"/>
          <w:sz w:val="28"/>
          <w:szCs w:val="28"/>
        </w:rPr>
      </w:pPr>
      <w:r>
        <w:rPr>
          <w:rFonts w:hint="eastAsia" w:ascii="宋体" w:hAnsi="宋体" w:cs="宋体"/>
          <w:sz w:val="28"/>
          <w:szCs w:val="28"/>
        </w:rPr>
        <w:t xml:space="preserve">售价：0.00元</w:t>
      </w:r>
      <w:r/>
    </w:p>
    <w:p>
      <w:pPr>
        <w:ind w:firstLine="643"/>
        <w:spacing w:line="460" w:lineRule="exact"/>
        <w:rPr>
          <w:rFonts w:ascii="宋体" w:hAnsi="宋体" w:cs="宋体"/>
          <w:b/>
          <w:sz w:val="32"/>
          <w:szCs w:val="32"/>
        </w:rPr>
      </w:pPr>
      <w:r/>
      <w:bookmarkStart w:id="23" w:name="_Toc28359005"/>
      <w:r/>
      <w:bookmarkStart w:id="24" w:name="_Toc28359082"/>
      <w:r/>
      <w:bookmarkStart w:id="25" w:name="_Toc35393624"/>
      <w:r/>
      <w:bookmarkStart w:id="26" w:name="_Toc35393793"/>
      <w:r>
        <w:rPr>
          <w:rFonts w:hint="eastAsia" w:ascii="宋体" w:hAnsi="宋体" w:cs="宋体"/>
          <w:b/>
          <w:sz w:val="32"/>
          <w:szCs w:val="32"/>
        </w:rPr>
        <w:t xml:space="preserve">四、提交投标文件</w:t>
      </w:r>
      <w:bookmarkEnd w:id="23"/>
      <w:r/>
      <w:bookmarkEnd w:id="24"/>
      <w:r>
        <w:rPr>
          <w:rFonts w:hint="eastAsia" w:ascii="宋体" w:hAnsi="宋体" w:cs="宋体"/>
          <w:b/>
          <w:sz w:val="32"/>
          <w:szCs w:val="32"/>
        </w:rPr>
        <w:t xml:space="preserve">截止时间、开标时间和地点</w:t>
      </w:r>
      <w:bookmarkEnd w:id="25"/>
      <w:r/>
      <w:bookmarkEnd w:id="26"/>
      <w:r/>
      <w:r/>
    </w:p>
    <w:p>
      <w:pPr>
        <w:ind w:firstLine="560"/>
        <w:spacing w:line="460" w:lineRule="exact"/>
        <w:rPr>
          <w:rFonts w:ascii="宋体" w:hAnsi="宋体" w:cs="宋体"/>
          <w:sz w:val="28"/>
          <w:szCs w:val="28"/>
        </w:rPr>
      </w:pPr>
      <w:r>
        <w:rPr>
          <w:rFonts w:hint="eastAsia" w:ascii="宋体" w:hAnsi="宋体" w:cs="宋体"/>
          <w:color w:val="ff0000"/>
          <w:sz w:val="28"/>
          <w:szCs w:val="28"/>
        </w:rPr>
        <w:t xml:space="preserve">2025-1</w:t>
      </w:r>
      <w:r>
        <w:rPr>
          <w:rFonts w:hint="eastAsia" w:ascii="宋体" w:hAnsi="宋体" w:cs="宋体"/>
          <w:color w:val="ff0000"/>
          <w:sz w:val="28"/>
          <w:szCs w:val="28"/>
          <w:lang w:val="en-US" w:eastAsia="zh-CN"/>
        </w:rPr>
        <w:t xml:space="preserve">2</w:t>
      </w:r>
      <w:r>
        <w:rPr>
          <w:rFonts w:hint="eastAsia" w:ascii="宋体" w:hAnsi="宋体" w:cs="宋体"/>
          <w:color w:val="ff0000"/>
          <w:sz w:val="28"/>
          <w:szCs w:val="28"/>
        </w:rPr>
        <w:t xml:space="preserve">-1</w:t>
      </w:r>
      <w:r>
        <w:rPr>
          <w:rFonts w:hint="eastAsia" w:ascii="宋体" w:hAnsi="宋体" w:cs="宋体"/>
          <w:color w:val="ff0000"/>
          <w:sz w:val="28"/>
          <w:szCs w:val="28"/>
          <w:lang w:val="en-US" w:eastAsia="zh-CN"/>
        </w:rPr>
        <w:t xml:space="preserve">1</w:t>
      </w:r>
      <w:r>
        <w:rPr>
          <w:rFonts w:hint="eastAsia" w:ascii="宋体" w:hAnsi="宋体" w:cs="宋体"/>
          <w:color w:val="ff0000"/>
          <w:sz w:val="28"/>
          <w:szCs w:val="28"/>
        </w:rPr>
        <w:t xml:space="preserve">  09:00 </w:t>
      </w:r>
      <w:r>
        <w:rPr>
          <w:rFonts w:hint="eastAsia" w:ascii="宋体" w:hAnsi="宋体" w:cs="宋体"/>
          <w:sz w:val="28"/>
          <w:szCs w:val="28"/>
        </w:rPr>
        <w:t xml:space="preserve">（北京时间）</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地点：“苏采云”政府采购交易系统网上开标大厅。</w:t>
      </w:r>
      <w:r/>
    </w:p>
    <w:p>
      <w:pPr>
        <w:ind w:firstLine="643"/>
        <w:spacing w:line="460" w:lineRule="exact"/>
        <w:rPr>
          <w:rFonts w:ascii="宋体" w:hAnsi="宋体" w:cs="宋体"/>
          <w:b/>
          <w:sz w:val="32"/>
          <w:szCs w:val="32"/>
        </w:rPr>
      </w:pPr>
      <w:r/>
      <w:bookmarkStart w:id="27" w:name="_Toc35393625"/>
      <w:r/>
      <w:bookmarkStart w:id="28" w:name="_Toc28359007"/>
      <w:r/>
      <w:bookmarkStart w:id="29" w:name="_Toc35393794"/>
      <w:r/>
      <w:bookmarkStart w:id="30" w:name="_Toc28359084"/>
      <w:r>
        <w:rPr>
          <w:rFonts w:hint="eastAsia" w:ascii="宋体" w:hAnsi="宋体" w:cs="宋体"/>
          <w:b/>
          <w:sz w:val="32"/>
          <w:szCs w:val="32"/>
        </w:rPr>
        <w:t xml:space="preserve">五、公告期限</w:t>
      </w:r>
      <w:bookmarkEnd w:id="27"/>
      <w:r/>
      <w:bookmarkEnd w:id="28"/>
      <w:r/>
      <w:bookmarkEnd w:id="29"/>
      <w:r/>
      <w:bookmarkEnd w:id="30"/>
      <w:r/>
      <w:r/>
    </w:p>
    <w:p>
      <w:pPr>
        <w:ind w:firstLine="560"/>
        <w:spacing w:line="460" w:lineRule="exact"/>
        <w:rPr>
          <w:rFonts w:ascii="宋体" w:hAnsi="宋体" w:cs="宋体"/>
          <w:sz w:val="28"/>
          <w:szCs w:val="28"/>
        </w:rPr>
      </w:pPr>
      <w:r>
        <w:rPr>
          <w:rFonts w:hint="eastAsia" w:ascii="宋体" w:hAnsi="宋体" w:cs="宋体"/>
          <w:sz w:val="28"/>
          <w:szCs w:val="28"/>
        </w:rPr>
        <w:t xml:space="preserve">自本公告发布之日起5个工作日。</w:t>
      </w:r>
      <w:r/>
    </w:p>
    <w:p>
      <w:pPr>
        <w:ind w:firstLine="643"/>
        <w:spacing w:line="460" w:lineRule="exact"/>
        <w:rPr>
          <w:rFonts w:ascii="宋体" w:hAnsi="宋体" w:cs="宋体"/>
          <w:b/>
          <w:sz w:val="32"/>
          <w:szCs w:val="32"/>
        </w:rPr>
      </w:pPr>
      <w:r/>
      <w:bookmarkStart w:id="31" w:name="_Toc35393795"/>
      <w:r/>
      <w:bookmarkStart w:id="32" w:name="_Toc35393626"/>
      <w:r>
        <w:rPr>
          <w:rFonts w:hint="eastAsia" w:ascii="宋体" w:hAnsi="宋体" w:cs="宋体"/>
          <w:b/>
          <w:sz w:val="32"/>
          <w:szCs w:val="32"/>
        </w:rPr>
        <w:t xml:space="preserve">六、其他补充事宜</w:t>
      </w:r>
      <w:bookmarkEnd w:id="31"/>
      <w:r/>
      <w:bookmarkEnd w:id="32"/>
      <w:r/>
      <w:r/>
    </w:p>
    <w:p>
      <w:pPr>
        <w:ind w:firstLine="560"/>
        <w:spacing w:line="460" w:lineRule="exact"/>
        <w:rPr>
          <w:rFonts w:ascii="宋体" w:hAnsi="宋体" w:cs="宋体"/>
          <w:sz w:val="28"/>
          <w:szCs w:val="28"/>
        </w:rPr>
      </w:pPr>
      <w:r>
        <w:rPr>
          <w:rFonts w:hint="eastAsia" w:ascii="宋体" w:hAnsi="宋体" w:cs="宋体"/>
          <w:sz w:val="28"/>
          <w:szCs w:val="28"/>
        </w:rPr>
        <w:t xml:space="preserve">1.投标保证金：无。</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w:t>
      </w:r>
      <w:r>
        <w:rPr>
          <w:rFonts w:hint="eastAsia" w:ascii="宋体" w:hAnsi="宋体" w:cs="宋体"/>
          <w:b/>
          <w:color w:val="ff0000"/>
        </w:rPr>
        <w:t xml:space="preserve"> </w:t>
      </w:r>
      <w:r>
        <w:rPr>
          <w:rFonts w:hint="eastAsia" w:ascii="宋体" w:hAnsi="宋体" w:cs="宋体"/>
          <w:b/>
          <w:color w:val="ff0000"/>
          <w:sz w:val="28"/>
          <w:szCs w:val="28"/>
        </w:rPr>
        <w:t xml:space="preserve">注意事项：</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spacing w:line="460" w:lineRule="exact"/>
        <w:rPr>
          <w:rFonts w:ascii="宋体" w:hAnsi="宋体" w:cs="宋体"/>
          <w:b/>
          <w:color w:val="ff0000"/>
          <w:sz w:val="28"/>
          <w:szCs w:val="28"/>
        </w:rPr>
      </w:pPr>
      <w:r>
        <w:rPr>
          <w:rFonts w:hint="eastAsia" w:ascii="宋体" w:hAnsi="宋体" w:cs="宋体"/>
          <w:b/>
          <w:color w:val="ff0000"/>
          <w:sz w:val="28"/>
          <w:szCs w:val="28"/>
        </w:rPr>
        <w:t xml:space="preserve">如潜在投标人未按上述要求操作，将自行承担所产生的风险。</w:t>
      </w:r>
      <w:r/>
    </w:p>
    <w:p>
      <w:pPr>
        <w:ind w:firstLine="480"/>
        <w:spacing w:line="460" w:lineRule="exact"/>
        <w:rPr>
          <w:rFonts w:ascii="宋体" w:hAnsi="宋体" w:cs="宋体"/>
          <w:sz w:val="28"/>
          <w:szCs w:val="28"/>
        </w:rPr>
      </w:pPr>
      <w:r>
        <w:rPr>
          <w:rFonts w:hint="eastAsia" w:ascii="宋体" w:hAnsi="宋体" w:cs="宋体"/>
          <w:b/>
          <w:sz w:val="32"/>
          <w:szCs w:val="32"/>
        </w:rPr>
        <w:t xml:space="preserve">七、对本次招标提出询问，请按以下方式联系。</w:t>
      </w:r>
      <w:bookmarkEnd w:id="19"/>
      <w:r/>
      <w:bookmarkEnd w:id="20"/>
      <w:r/>
      <w:bookmarkEnd w:id="21"/>
      <w:r/>
      <w:bookmarkEnd w:id="22"/>
      <w:r/>
      <w:r/>
    </w:p>
    <w:p>
      <w:pPr>
        <w:ind w:firstLine="560"/>
        <w:spacing w:line="460" w:lineRule="exact"/>
        <w:rPr>
          <w:rFonts w:ascii="宋体" w:hAnsi="宋体" w:cs="宋体"/>
          <w:sz w:val="28"/>
          <w:szCs w:val="28"/>
        </w:rPr>
      </w:pPr>
      <w:r>
        <w:rPr>
          <w:rFonts w:hint="eastAsia" w:ascii="宋体" w:hAnsi="宋体" w:cs="宋体"/>
          <w:sz w:val="28"/>
          <w:szCs w:val="28"/>
        </w:rPr>
        <w:t xml:space="preserve">1.采购人信息</w:t>
      </w:r>
      <w:r/>
    </w:p>
    <w:p>
      <w:pPr>
        <w:ind w:firstLine="560"/>
        <w:spacing w:line="460" w:lineRule="exact"/>
        <w:rPr>
          <w:rFonts w:ascii="宋体" w:hAnsi="宋体" w:cs="宋体"/>
          <w:sz w:val="28"/>
          <w:szCs w:val="28"/>
        </w:rPr>
      </w:pPr>
      <w:r/>
      <w:bookmarkStart w:id="33" w:name="_Toc28359086"/>
      <w:r/>
      <w:bookmarkStart w:id="34" w:name="_Toc28359009"/>
      <w:r>
        <w:rPr>
          <w:rFonts w:hint="eastAsia" w:ascii="宋体" w:hAnsi="宋体" w:cs="宋体"/>
          <w:sz w:val="28"/>
          <w:szCs w:val="28"/>
        </w:rPr>
        <w:t xml:space="preserve">名 称：泰兴市人民法院</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址：泰兴市国庆东路</w:t>
      </w:r>
      <w:r>
        <w:rPr>
          <w:rFonts w:ascii="宋体" w:hAnsi="宋体" w:cs="宋体"/>
          <w:sz w:val="28"/>
          <w:szCs w:val="28"/>
        </w:rPr>
        <w:t xml:space="preserve">161</w:t>
      </w:r>
      <w:r>
        <w:rPr>
          <w:rFonts w:hint="eastAsia" w:ascii="宋体" w:hAnsi="宋体" w:cs="宋体"/>
          <w:sz w:val="28"/>
          <w:szCs w:val="28"/>
        </w:rPr>
        <w:t xml:space="preserve">号</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 0523-</w:t>
      </w:r>
      <w:r>
        <w:rPr>
          <w:rFonts w:ascii="宋体" w:hAnsi="宋体" w:cs="宋体"/>
          <w:sz w:val="28"/>
          <w:szCs w:val="28"/>
        </w:rPr>
        <w:t xml:space="preserve">87991051</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2.采购代理机构信息</w:t>
      </w:r>
      <w:bookmarkEnd w:id="33"/>
      <w:r/>
      <w:bookmarkEnd w:id="34"/>
      <w:r/>
      <w:r/>
    </w:p>
    <w:p>
      <w:pPr>
        <w:ind w:firstLine="560"/>
        <w:spacing w:line="460" w:lineRule="exact"/>
        <w:rPr>
          <w:rFonts w:ascii="宋体" w:hAnsi="宋体" w:cs="宋体"/>
          <w:sz w:val="28"/>
          <w:szCs w:val="28"/>
        </w:rPr>
      </w:pPr>
      <w:r>
        <w:rPr>
          <w:rFonts w:hint="eastAsia" w:ascii="宋体" w:hAnsi="宋体" w:cs="宋体"/>
          <w:sz w:val="28"/>
          <w:szCs w:val="28"/>
        </w:rPr>
        <w:t xml:space="preserve">名 称：泰兴市公共资源交易中心</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址：泰兴市文昌东路62号四楼406室</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w:t>
      </w:r>
      <w:bookmarkStart w:id="35" w:name="_Toc28359010"/>
      <w:r/>
      <w:bookmarkStart w:id="36" w:name="_Toc28359087"/>
      <w:r>
        <w:rPr>
          <w:rFonts w:hint="eastAsia" w:ascii="宋体" w:hAnsi="宋体" w:cs="宋体"/>
          <w:sz w:val="28"/>
          <w:szCs w:val="28"/>
        </w:rPr>
        <w:t xml:space="preserve"> 0523-87654122             </w:t>
      </w:r>
      <w:bookmarkEnd w:id="35"/>
      <w:r/>
      <w:bookmarkEnd w:id="36"/>
      <w:r/>
      <w:r/>
    </w:p>
    <w:p>
      <w:pPr>
        <w:ind w:firstLine="560"/>
        <w:spacing w:line="460" w:lineRule="exact"/>
        <w:rPr>
          <w:rFonts w:ascii="宋体" w:hAnsi="宋体" w:cs="宋体"/>
          <w:sz w:val="28"/>
          <w:szCs w:val="28"/>
        </w:rPr>
      </w:pPr>
      <w:r>
        <w:rPr>
          <w:rFonts w:hint="eastAsia" w:ascii="宋体" w:hAnsi="宋体" w:cs="宋体"/>
          <w:sz w:val="28"/>
          <w:szCs w:val="28"/>
        </w:rPr>
        <w:t xml:space="preserve">3.项目联系方式</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项目联系人：泰兴市人民法院  钱先生 </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w:t>
      </w:r>
      <w:r>
        <w:rPr>
          <w:rFonts w:ascii="宋体" w:hAnsi="宋体" w:cs="宋体"/>
          <w:sz w:val="28"/>
          <w:szCs w:val="28"/>
        </w:rPr>
        <w:t xml:space="preserve">991051</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项目联系人：泰兴市公共资源交易中心  黄女士</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话：0523-87654122</w:t>
      </w:r>
      <w:r/>
    </w:p>
    <w:p>
      <w:pPr>
        <w:pStyle w:val="734"/>
        <w:rPr>
          <w:rFonts w:ascii="宋体" w:hAnsi="宋体" w:cs="宋体"/>
        </w:rPr>
      </w:pPr>
      <w:r>
        <w:rPr>
          <w:rFonts w:ascii="宋体" w:hAnsi="宋体" w:cs="宋体"/>
        </w:rPr>
      </w:r>
      <w:r/>
    </w:p>
    <w:p>
      <w:pPr>
        <w:jc w:val="center"/>
        <w:widowControl/>
        <w:rPr>
          <w:rFonts w:ascii="黑体" w:hAnsi="黑体" w:eastAsia="黑体"/>
          <w:b/>
          <w:sz w:val="32"/>
          <w:szCs w:val="32"/>
        </w:rPr>
      </w:pPr>
      <w:r/>
      <w:bookmarkStart w:id="37" w:name="_Toc426469869"/>
      <w:r/>
      <w:bookmarkStart w:id="38" w:name="_Toc16938516"/>
      <w:r/>
      <w:bookmarkStart w:id="39" w:name="_Toc382812472"/>
      <w:r/>
      <w:bookmarkStart w:id="40" w:name="_Toc513029200"/>
      <w:r/>
      <w:bookmarkStart w:id="41" w:name="_Toc20823272"/>
      <w:r/>
      <w:bookmarkStart w:id="42" w:name="_Toc382813966"/>
      <w:r/>
      <w:bookmarkStart w:id="43" w:name="_Toc523127445"/>
      <w:r/>
      <w:bookmarkStart w:id="44" w:name="_Toc479757206"/>
      <w:r/>
      <w:bookmarkStart w:id="45" w:name="_Toc382813885"/>
      <w:r>
        <w:rPr>
          <w:rFonts w:ascii="黑体" w:hAnsi="黑体" w:eastAsia="黑体"/>
          <w:b/>
          <w:sz w:val="32"/>
          <w:szCs w:val="32"/>
        </w:rPr>
        <w:br w:type="page" w:clear="all"/>
      </w:r>
      <w:r>
        <w:rPr>
          <w:rFonts w:hint="eastAsia" w:ascii="微软雅黑" w:hAnsi="微软雅黑" w:eastAsia="微软雅黑" w:cs="微软雅黑"/>
          <w:b/>
          <w:sz w:val="36"/>
          <w:szCs w:val="36"/>
        </w:rPr>
        <w:t xml:space="preserve">第二章 供应商须知</w:t>
      </w:r>
      <w:bookmarkEnd w:id="37"/>
      <w:r/>
      <w:r/>
    </w:p>
    <w:tbl>
      <w:tblPr>
        <w:tblStyle w:val="72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 款 名 称</w:t>
            </w:r>
            <w:r/>
          </w:p>
        </w:tc>
        <w:tc>
          <w:tcPr>
            <w:tcW w:w="5987"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编  列  内  容</w:t>
            </w:r>
            <w:r/>
          </w:p>
        </w:tc>
      </w:tr>
      <w:tr>
        <w:trPr>
          <w:jc w:val="center"/>
          <w:trHeight w:val="155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招标人</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名称：泰兴市人民法院</w:t>
            </w:r>
            <w:r/>
          </w:p>
          <w:p>
            <w:pPr>
              <w:jc w:val="left"/>
              <w:spacing w:line="360" w:lineRule="exact"/>
              <w:rPr>
                <w:rFonts w:ascii="宋体" w:hAnsi="宋体" w:cs="宋体"/>
                <w:sz w:val="28"/>
                <w:szCs w:val="28"/>
              </w:rPr>
            </w:pPr>
            <w:r>
              <w:rPr>
                <w:rFonts w:hint="eastAsia" w:ascii="宋体" w:hAnsi="宋体" w:cs="宋体"/>
                <w:sz w:val="28"/>
                <w:szCs w:val="28"/>
              </w:rPr>
              <w:t xml:space="preserve">地址：泰兴市国庆东路</w:t>
            </w:r>
            <w:r>
              <w:rPr>
                <w:rFonts w:ascii="宋体" w:hAnsi="宋体" w:cs="宋体"/>
                <w:sz w:val="28"/>
                <w:szCs w:val="28"/>
              </w:rPr>
              <w:t xml:space="preserve">161</w:t>
            </w:r>
            <w:r>
              <w:rPr>
                <w:rFonts w:hint="eastAsia" w:ascii="宋体" w:hAnsi="宋体" w:cs="宋体"/>
                <w:sz w:val="28"/>
                <w:szCs w:val="28"/>
              </w:rPr>
              <w:t xml:space="preserve">号</w:t>
            </w:r>
            <w:r/>
          </w:p>
          <w:p>
            <w:pPr>
              <w:jc w:val="left"/>
              <w:spacing w:line="360" w:lineRule="exact"/>
              <w:rPr>
                <w:rFonts w:ascii="宋体" w:hAnsi="宋体" w:cs="宋体"/>
                <w:sz w:val="28"/>
                <w:szCs w:val="28"/>
              </w:rPr>
            </w:pPr>
            <w:r>
              <w:rPr>
                <w:rFonts w:hint="eastAsia" w:ascii="宋体" w:hAnsi="宋体" w:cs="宋体"/>
                <w:sz w:val="28"/>
                <w:szCs w:val="28"/>
              </w:rPr>
              <w:t xml:space="preserve">联系人：钱先生</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联系电话：0523-879</w:t>
            </w:r>
            <w:r>
              <w:rPr>
                <w:rFonts w:ascii="宋体" w:hAnsi="宋体" w:cs="宋体"/>
                <w:sz w:val="28"/>
                <w:szCs w:val="28"/>
              </w:rPr>
              <w:t xml:space="preserve">91051</w:t>
            </w:r>
            <w:r/>
          </w:p>
        </w:tc>
      </w:tr>
      <w:tr>
        <w:trPr>
          <w:jc w:val="center"/>
          <w:trHeight w:val="144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1.1.3</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采购代理机构</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名称：泰兴市公共资源交易中心</w:t>
            </w:r>
            <w:r/>
          </w:p>
          <w:p>
            <w:pPr>
              <w:jc w:val="left"/>
              <w:spacing w:line="360" w:lineRule="exact"/>
              <w:rPr>
                <w:rFonts w:ascii="宋体" w:hAnsi="宋体" w:cs="宋体"/>
                <w:sz w:val="28"/>
                <w:szCs w:val="28"/>
              </w:rPr>
            </w:pPr>
            <w:r>
              <w:rPr>
                <w:rFonts w:hint="eastAsia" w:ascii="宋体" w:hAnsi="宋体" w:cs="宋体"/>
                <w:sz w:val="28"/>
                <w:szCs w:val="28"/>
              </w:rPr>
              <w:t xml:space="preserve">地址：泰兴市文昌东路62号四楼406室</w:t>
            </w:r>
            <w:r/>
          </w:p>
          <w:p>
            <w:pPr>
              <w:jc w:val="left"/>
              <w:spacing w:line="360" w:lineRule="exact"/>
              <w:rPr>
                <w:rFonts w:ascii="宋体" w:hAnsi="宋体" w:cs="宋体"/>
                <w:sz w:val="28"/>
                <w:szCs w:val="28"/>
              </w:rPr>
            </w:pPr>
            <w:r>
              <w:rPr>
                <w:rFonts w:hint="eastAsia" w:ascii="宋体" w:hAnsi="宋体" w:cs="宋体"/>
                <w:sz w:val="28"/>
                <w:szCs w:val="28"/>
              </w:rPr>
              <w:t xml:space="preserve">联系人：黄女士</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联系电话：0523-87654122</w:t>
            </w:r>
            <w:r/>
          </w:p>
        </w:tc>
      </w:tr>
      <w:tr>
        <w:trPr>
          <w:jc w:val="center"/>
          <w:trHeight w:val="82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项目名称及项目编号</w:t>
            </w:r>
            <w:r/>
          </w:p>
        </w:tc>
        <w:tc>
          <w:tcPr>
            <w:tcW w:w="5987" w:type="dxa"/>
            <w:vAlign w:val="center"/>
            <w:textDirection w:val="lrTb"/>
            <w:noWrap w:val="false"/>
          </w:tcPr>
          <w:p>
            <w:pPr>
              <w:ind w:left="1400" w:hanging="1400"/>
              <w:jc w:val="left"/>
              <w:spacing w:line="36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color w:val="000000"/>
                <w:sz w:val="28"/>
                <w:szCs w:val="28"/>
                <w:lang w:bidi="ar"/>
              </w:rPr>
              <w:t xml:space="preserve">泰兴市人民法院定制审判桌椅及通用办公家具采购项目（高新区人民法庭）</w:t>
            </w:r>
            <w:r/>
          </w:p>
          <w:p>
            <w:pPr>
              <w:jc w:val="left"/>
              <w:spacing w:line="360" w:lineRule="exact"/>
              <w:rPr>
                <w:rFonts w:ascii="宋体" w:hAnsi="宋体" w:cs="宋体"/>
                <w:sz w:val="28"/>
                <w:szCs w:val="28"/>
              </w:rPr>
            </w:pPr>
            <w:r>
              <w:rPr>
                <w:rFonts w:hint="eastAsia" w:ascii="宋体" w:hAnsi="宋体" w:cs="宋体"/>
                <w:sz w:val="28"/>
                <w:szCs w:val="28"/>
              </w:rPr>
              <w:t xml:space="preserve">项目编号：JSZC-321283-JZCG-G2025-003</w:t>
            </w:r>
            <w:r>
              <w:rPr>
                <w:rFonts w:hint="eastAsia" w:ascii="宋体" w:hAnsi="宋体" w:cs="宋体"/>
                <w:sz w:val="28"/>
                <w:szCs w:val="28"/>
                <w:lang w:val="en-US" w:eastAsia="zh-CN"/>
              </w:rPr>
              <w:t xml:space="preserve">8</w:t>
            </w:r>
            <w:r/>
          </w:p>
        </w:tc>
      </w:tr>
      <w:tr>
        <w:trPr>
          <w:jc w:val="center"/>
          <w:trHeight w:val="399"/>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1.2.1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付款方式</w:t>
            </w:r>
            <w:r/>
          </w:p>
        </w:tc>
        <w:tc>
          <w:tcPr>
            <w:tcW w:w="5987"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（1）甲乙双方签订合同后，甲方支付合同金额的</w:t>
            </w:r>
            <w:r>
              <w:rPr>
                <w:rFonts w:ascii="宋体" w:hAnsi="宋体" w:cs="宋体"/>
                <w:sz w:val="28"/>
                <w:szCs w:val="28"/>
              </w:rPr>
              <w:t xml:space="preserve">3</w:t>
            </w:r>
            <w:r>
              <w:rPr>
                <w:rFonts w:hint="eastAsia" w:ascii="宋体" w:hAnsi="宋体" w:cs="宋体"/>
                <w:sz w:val="28"/>
                <w:szCs w:val="28"/>
              </w:rPr>
              <w:t xml:space="preserve">0%；（2）验收合格后，支付至合同金额的97%；（3）20</w:t>
            </w:r>
            <w:r>
              <w:rPr>
                <w:rFonts w:ascii="宋体" w:hAnsi="宋体" w:cs="宋体"/>
                <w:sz w:val="28"/>
                <w:szCs w:val="28"/>
              </w:rPr>
              <w:t xml:space="preserve">26</w:t>
            </w:r>
            <w:r>
              <w:rPr>
                <w:rFonts w:hint="eastAsia" w:ascii="宋体" w:hAnsi="宋体" w:cs="宋体"/>
                <w:sz w:val="28"/>
                <w:szCs w:val="28"/>
              </w:rPr>
              <w:t xml:space="preserve">年1</w:t>
            </w:r>
            <w:r>
              <w:rPr>
                <w:rFonts w:ascii="宋体" w:hAnsi="宋体" w:cs="宋体"/>
                <w:sz w:val="28"/>
                <w:szCs w:val="28"/>
              </w:rPr>
              <w:t xml:space="preserve">2</w:t>
            </w:r>
            <w:r>
              <w:rPr>
                <w:rFonts w:hint="eastAsia" w:ascii="宋体" w:hAnsi="宋体" w:cs="宋体"/>
                <w:sz w:val="28"/>
                <w:szCs w:val="28"/>
              </w:rPr>
              <w:t xml:space="preserve">月一次性付清余款。</w:t>
            </w:r>
            <w:r/>
          </w:p>
        </w:tc>
      </w:tr>
      <w:tr>
        <w:trPr>
          <w:jc w:val="center"/>
          <w:trHeight w:val="467"/>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采购范围</w:t>
            </w:r>
            <w:r/>
          </w:p>
        </w:tc>
        <w:tc>
          <w:tcPr>
            <w:tcW w:w="5987"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合同履行期限</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合同签订后20日内供应商将设备、材料等运送到采购方指定地点并完成安装调试，交付使用</w:t>
            </w:r>
            <w:r>
              <w:rPr>
                <w:rFonts w:hint="eastAsia" w:ascii="宋体" w:hAnsi="宋体" w:cs="宋体"/>
              </w:rPr>
              <w:t xml:space="preserve">。</w:t>
            </w:r>
            <w:r/>
          </w:p>
        </w:tc>
      </w:tr>
      <w:tr>
        <w:trPr>
          <w:jc w:val="center"/>
          <w:trHeight w:val="77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1.4.2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1.8.2</w:t>
            </w:r>
            <w:r/>
          </w:p>
        </w:tc>
        <w:tc>
          <w:tcPr>
            <w:gridSpan w:val="2"/>
            <w:tcW w:w="2552" w:type="dxa"/>
            <w:vAlign w:val="center"/>
            <w:textDirection w:val="lrTb"/>
            <w:noWrap w:val="false"/>
          </w:tcPr>
          <w:p>
            <w:pPr>
              <w:jc w:val="center"/>
              <w:spacing w:line="320" w:lineRule="exact"/>
              <w:rPr>
                <w:rFonts w:ascii="宋体" w:hAnsi="宋体" w:cs="宋体"/>
                <w:sz w:val="28"/>
                <w:szCs w:val="28"/>
                <w:highlight w:val="yellow"/>
              </w:rPr>
            </w:pPr>
            <w:r>
              <w:rPr>
                <w:rFonts w:hint="eastAsia" w:ascii="宋体" w:hAnsi="宋体" w:cs="宋体"/>
                <w:sz w:val="28"/>
                <w:szCs w:val="28"/>
              </w:rPr>
              <w:t xml:space="preserve">偏离</w:t>
            </w:r>
            <w:r/>
          </w:p>
        </w:tc>
        <w:tc>
          <w:tcPr>
            <w:tcW w:w="5987" w:type="dxa"/>
            <w:vAlign w:val="center"/>
            <w:textDirection w:val="lrTb"/>
            <w:noWrap w:val="false"/>
          </w:tcPr>
          <w:p>
            <w:pPr>
              <w:pStyle w:val="733"/>
              <w:spacing w:line="320" w:lineRule="exact"/>
              <w:rPr>
                <w:rFonts w:ascii="宋体" w:hAnsi="宋体" w:cs="宋体"/>
                <w:sz w:val="28"/>
                <w:szCs w:val="28"/>
                <w:highlight w:val="yellow"/>
              </w:rPr>
            </w:pPr>
            <w:r/>
            <w:bookmarkStart w:id="46" w:name="FBfe800446baa24252acf6b14953dc4897"/>
            <w:r/>
            <w:bookmarkEnd w:id="46"/>
            <w:r/>
            <w:bookmarkStart w:id="47" w:name="FEfe800446baa24252acf6b14953dc4897"/>
            <w:r/>
            <w:bookmarkEnd w:id="47"/>
            <w:r>
              <w:rPr>
                <w:rFonts w:hint="eastAsia" w:ascii="宋体" w:hAnsi="宋体" w:cs="宋体"/>
                <w:b/>
                <w:bCs/>
                <w:color w:val="c00000"/>
                <w:sz w:val="28"/>
                <w:szCs w:val="28"/>
                <w:lang w:eastAsia="zh-CN"/>
              </w:rPr>
              <w:t xml:space="preserve">第五章</w:t>
            </w:r>
            <w:r>
              <w:rPr>
                <w:rFonts w:hint="eastAsia" w:ascii="宋体" w:hAnsi="宋体" w:cs="宋体"/>
                <w:b/>
                <w:bCs/>
                <w:color w:val="c00000"/>
                <w:sz w:val="28"/>
                <w:szCs w:val="28"/>
              </w:rPr>
              <w:t xml:space="preserve">采购需求允许偏离</w:t>
            </w:r>
            <w:r/>
          </w:p>
        </w:tc>
      </w:tr>
      <w:tr>
        <w:trPr>
          <w:jc w:val="center"/>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2.1</w:t>
            </w:r>
            <w:r/>
          </w:p>
        </w:tc>
        <w:tc>
          <w:tcPr>
            <w:gridSpan w:val="2"/>
            <w:tcW w:w="2552"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hAnsi="宋体" w:cs="宋体"/>
                <w:sz w:val="28"/>
                <w:szCs w:val="28"/>
                <w:highlight w:val="yellow"/>
              </w:rPr>
            </w:pPr>
            <w:r/>
            <w:bookmarkStart w:id="48" w:name="EB35ced2e8f8364f63a510bf246ff979f0"/>
            <w:r/>
            <w:bookmarkEnd w:id="48"/>
            <w:r>
              <w:rPr>
                <w:rFonts w:hint="eastAsia" w:ascii="宋体" w:hAnsi="宋体" w:cs="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hAnsi="宋体" w:cs="宋体"/>
                <w:sz w:val="28"/>
                <w:szCs w:val="28"/>
              </w:rPr>
            </w:pPr>
            <w:r>
              <w:rPr>
                <w:rFonts w:hint="eastAsia" w:ascii="宋体" w:hAnsi="宋体" w:cs="宋体"/>
                <w:color w:val="c00000"/>
                <w:sz w:val="28"/>
                <w:szCs w:val="28"/>
              </w:rPr>
              <w:t xml:space="preserve">2025年</w:t>
            </w:r>
            <w:r>
              <w:rPr>
                <w:rFonts w:hint="eastAsia" w:ascii="宋体" w:hAnsi="宋体" w:cs="宋体"/>
                <w:color w:val="c00000"/>
                <w:sz w:val="28"/>
                <w:szCs w:val="28"/>
                <w:lang w:val="en-US" w:eastAsia="zh-CN"/>
              </w:rPr>
              <w:t xml:space="preserve">11</w:t>
            </w:r>
            <w:r>
              <w:rPr>
                <w:rFonts w:hint="eastAsia" w:ascii="宋体" w:hAnsi="宋体" w:cs="宋体"/>
                <w:color w:val="c00000"/>
                <w:sz w:val="28"/>
                <w:szCs w:val="28"/>
              </w:rPr>
              <w:t xml:space="preserve">月</w:t>
            </w:r>
            <w:r>
              <w:rPr>
                <w:rFonts w:hint="eastAsia" w:ascii="宋体" w:hAnsi="宋体" w:cs="宋体"/>
                <w:color w:val="c00000"/>
                <w:sz w:val="28"/>
                <w:szCs w:val="28"/>
                <w:lang w:val="en-US" w:eastAsia="zh-CN"/>
              </w:rPr>
              <w:t xml:space="preserve">24</w:t>
            </w:r>
            <w:r>
              <w:rPr>
                <w:rFonts w:hint="eastAsia" w:ascii="宋体" w:hAnsi="宋体" w:cs="宋体"/>
                <w:color w:val="c00000"/>
                <w:sz w:val="28"/>
                <w:szCs w:val="28"/>
              </w:rPr>
              <w:t xml:space="preserve">日  17时30分</w:t>
            </w:r>
            <w:r/>
          </w:p>
        </w:tc>
      </w:tr>
      <w:tr>
        <w:trPr>
          <w:jc w:val="center"/>
          <w:trHeight w:val="41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hAnsi="宋体" w:cs="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3.4.3</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投标文件的份数</w:t>
            </w:r>
            <w:r/>
          </w:p>
        </w:tc>
        <w:tc>
          <w:tcPr>
            <w:tcW w:w="5987" w:type="dxa"/>
            <w:vAlign w:val="center"/>
            <w:textDirection w:val="lrTb"/>
            <w:noWrap w:val="false"/>
          </w:tcPr>
          <w:p>
            <w:pPr>
              <w:spacing w:line="380" w:lineRule="exact"/>
              <w:rPr>
                <w:rFonts w:ascii="宋体" w:hAnsi="宋体" w:cs="宋体"/>
                <w:sz w:val="28"/>
                <w:szCs w:val="28"/>
              </w:rPr>
            </w:pPr>
            <w:r>
              <w:rPr>
                <w:rFonts w:hint="eastAsia" w:ascii="宋体" w:hAnsi="宋体" w:cs="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cs="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5.1.1</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开标时间：</w:t>
            </w:r>
            <w:bookmarkStart w:id="49" w:name="EB72e20e40757d438698d0d924b6237fcc"/>
            <w:r/>
            <w:bookmarkEnd w:id="49"/>
            <w:r>
              <w:rPr>
                <w:rFonts w:hint="eastAsia" w:ascii="宋体" w:hAnsi="宋体" w:cs="宋体"/>
                <w:sz w:val="28"/>
                <w:szCs w:val="28"/>
              </w:rPr>
              <w:t xml:space="preserve">同投标截止时间</w:t>
            </w:r>
            <w:r/>
          </w:p>
          <w:p>
            <w:pPr>
              <w:jc w:val="left"/>
              <w:spacing w:line="360" w:lineRule="exact"/>
              <w:rPr>
                <w:rFonts w:ascii="宋体" w:hAnsi="宋体" w:cs="宋体"/>
                <w:sz w:val="28"/>
                <w:szCs w:val="28"/>
              </w:rPr>
            </w:pPr>
            <w:r>
              <w:rPr>
                <w:rFonts w:hint="eastAsia" w:ascii="宋体" w:hAnsi="宋体" w:cs="宋体"/>
                <w:sz w:val="28"/>
                <w:szCs w:val="28"/>
              </w:rPr>
              <w:t xml:space="preserve">开标地点：“苏采云”系统“开标大厅”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开标活动将在招标公告中规定的时间和地点进行。供应商应当按照</w:t>
            </w:r>
            <w:r>
              <w:rPr>
                <w:rFonts w:hint="eastAsia" w:ascii="宋体" w:hAnsi="宋体" w:cs="宋体"/>
                <w:b/>
                <w:color w:val="ff0000"/>
                <w:sz w:val="28"/>
                <w:szCs w:val="28"/>
              </w:rPr>
              <w:t xml:space="preserve">《江苏省政府采购管理交易系统（苏采云）供应商操作手册》</w:t>
            </w:r>
            <w:r>
              <w:rPr>
                <w:rFonts w:hint="eastAsia" w:ascii="宋体" w:hAnsi="宋体" w:cs="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6.1.1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评标委员会人数：</w:t>
            </w:r>
            <w:r>
              <w:rPr>
                <w:rFonts w:hint="eastAsia" w:ascii="宋体" w:hAnsi="宋体" w:cs="宋体"/>
                <w:sz w:val="28"/>
                <w:szCs w:val="28"/>
                <w:u w:val="single"/>
              </w:rPr>
              <w:t xml:space="preserve">  5  </w:t>
            </w:r>
            <w:r>
              <w:rPr>
                <w:rFonts w:hint="eastAsia" w:ascii="宋体" w:hAnsi="宋体" w:cs="宋体"/>
                <w:sz w:val="28"/>
                <w:szCs w:val="28"/>
              </w:rPr>
              <w:t xml:space="preserve">人。</w:t>
            </w:r>
            <w:r/>
          </w:p>
        </w:tc>
      </w:tr>
      <w:tr>
        <w:trPr>
          <w:jc w:val="center"/>
          <w:trHeight w:val="9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7.2.1</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履约保证金</w:t>
            </w:r>
            <w:r/>
          </w:p>
        </w:tc>
        <w:tc>
          <w:tcPr>
            <w:tcW w:w="5987" w:type="dxa"/>
            <w:vAlign w:val="center"/>
            <w:textDirection w:val="lrTb"/>
            <w:noWrap w:val="false"/>
          </w:tcPr>
          <w:p>
            <w:pPr>
              <w:jc w:val="left"/>
              <w:spacing w:line="340" w:lineRule="exact"/>
              <w:rPr>
                <w:rFonts w:ascii="宋体" w:hAnsi="宋体" w:cs="宋体"/>
                <w:sz w:val="28"/>
                <w:szCs w:val="28"/>
              </w:rPr>
            </w:pPr>
            <w:r>
              <w:rPr>
                <w:rFonts w:hint="eastAsia" w:ascii="宋体" w:hAnsi="宋体" w:cs="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自中标通知书发出之日起</w:t>
            </w:r>
            <w:r>
              <w:rPr>
                <w:rFonts w:hint="eastAsia" w:ascii="宋体" w:hAnsi="宋体" w:cs="宋体"/>
                <w:sz w:val="28"/>
                <w:szCs w:val="28"/>
                <w:u w:val="single"/>
              </w:rPr>
              <w:t xml:space="preserve"> </w:t>
            </w:r>
            <w:r>
              <w:rPr>
                <w:rFonts w:hint="eastAsia" w:ascii="宋体" w:hAnsi="宋体" w:cs="宋体"/>
                <w:color w:val="auto"/>
                <w:sz w:val="28"/>
                <w:szCs w:val="28"/>
                <w:u w:val="single"/>
              </w:rPr>
              <w:t xml:space="preserve">10 </w:t>
            </w:r>
            <w:r>
              <w:rPr>
                <w:rFonts w:hint="eastAsia" w:ascii="宋体" w:hAnsi="宋体" w:cs="宋体"/>
                <w:color w:val="auto"/>
                <w:sz w:val="28"/>
                <w:szCs w:val="28"/>
              </w:rPr>
              <w:t xml:space="preserve">天</w:t>
            </w:r>
            <w:r>
              <w:rPr>
                <w:rFonts w:hint="eastAsia" w:ascii="宋体" w:hAnsi="宋体" w:cs="宋体"/>
                <w:sz w:val="28"/>
                <w:szCs w:val="28"/>
              </w:rPr>
              <w:t xml:space="preserve">内</w:t>
            </w:r>
            <w:r/>
          </w:p>
        </w:tc>
      </w:tr>
      <w:tr>
        <w:trPr>
          <w:jc w:val="center"/>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w:t>
            </w:r>
            <w:r/>
          </w:p>
        </w:tc>
        <w:tc>
          <w:tcPr>
            <w:gridSpan w:val="3"/>
            <w:tcW w:w="853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9.1</w:t>
            </w:r>
            <w:r/>
          </w:p>
        </w:tc>
        <w:tc>
          <w:tcPr>
            <w:tcW w:w="252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9.2</w:t>
            </w:r>
            <w:r/>
          </w:p>
        </w:tc>
        <w:tc>
          <w:tcPr>
            <w:tcW w:w="252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招标文件的解释</w:t>
            </w:r>
            <w:r/>
          </w:p>
        </w:tc>
        <w:tc>
          <w:tcPr>
            <w:gridSpan w:val="2"/>
            <w:tcW w:w="6018"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落实政府采购政策</w:t>
            </w:r>
            <w:r/>
          </w:p>
        </w:tc>
        <w:tc>
          <w:tcPr>
            <w:gridSpan w:val="2"/>
            <w:tcW w:w="6018" w:type="dxa"/>
            <w:textDirection w:val="lrTb"/>
            <w:noWrap w:val="false"/>
          </w:tcPr>
          <w:p>
            <w:pPr>
              <w:pStyle w:val="913"/>
              <w:spacing w:line="380" w:lineRule="exact"/>
              <w:rPr>
                <w:rFonts w:ascii="宋体" w:hAnsi="宋体" w:cs="宋体"/>
                <w:color w:val="ff0000"/>
                <w:sz w:val="28"/>
                <w:szCs w:val="28"/>
              </w:rPr>
            </w:pPr>
            <w:r>
              <w:rPr>
                <w:rFonts w:hint="eastAsia" w:ascii="宋体" w:hAnsi="宋体" w:cs="宋体"/>
                <w:color w:val="ff0000"/>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2.中标价格即为合同价格，在合同期内不予调增。</w:t>
            </w:r>
            <w:r/>
          </w:p>
          <w:p>
            <w:pPr>
              <w:jc w:val="left"/>
              <w:spacing w:line="360" w:lineRule="exact"/>
              <w:rPr>
                <w:rFonts w:ascii="宋体" w:hAnsi="宋体" w:cs="宋体"/>
                <w:b/>
                <w:color w:val="ff0000"/>
              </w:rPr>
            </w:pPr>
            <w:r>
              <w:rPr>
                <w:rFonts w:hint="eastAsia" w:ascii="宋体" w:hAnsi="宋体" w:cs="宋体"/>
                <w:color w:val="000000"/>
                <w:sz w:val="28"/>
                <w:szCs w:val="28"/>
              </w:rPr>
              <w:t xml:space="preserve">3.异常的低价可能会导致投标无效。</w:t>
            </w:r>
            <w:r/>
          </w:p>
        </w:tc>
      </w:tr>
    </w:tbl>
    <w:p>
      <w:pPr>
        <w:spacing w:line="490" w:lineRule="exact"/>
        <w:rPr>
          <w:rFonts w:ascii="宋体" w:hAnsi="宋体" w:cs="宋体"/>
          <w:sz w:val="32"/>
          <w:szCs w:val="32"/>
        </w:rPr>
      </w:pPr>
      <w:r/>
      <w:bookmarkStart w:id="50" w:name="_Toc426469871"/>
      <w:r/>
      <w:bookmarkStart w:id="51" w:name="_Toc367784995"/>
      <w:r/>
      <w:r/>
    </w:p>
    <w:p>
      <w:pPr>
        <w:spacing w:line="490" w:lineRule="exact"/>
        <w:rPr>
          <w:rFonts w:ascii="宋体" w:hAnsi="宋体" w:cs="宋体"/>
          <w:sz w:val="32"/>
          <w:szCs w:val="32"/>
        </w:rPr>
      </w:pPr>
      <w:r>
        <w:rPr>
          <w:rFonts w:hint="eastAsia" w:ascii="宋体" w:hAnsi="宋体" w:cs="宋体"/>
          <w:sz w:val="32"/>
          <w:szCs w:val="32"/>
        </w:rPr>
        <w:t xml:space="preserve">1.总则</w:t>
      </w:r>
      <w:bookmarkEnd w:id="50"/>
      <w:r/>
      <w:bookmarkEnd w:id="51"/>
      <w:r/>
      <w:r/>
    </w:p>
    <w:p>
      <w:pPr>
        <w:spacing w:line="490" w:lineRule="exact"/>
        <w:rPr>
          <w:rFonts w:ascii="宋体" w:hAnsi="宋体" w:cs="宋体"/>
          <w:b/>
          <w:sz w:val="28"/>
          <w:szCs w:val="28"/>
        </w:rPr>
      </w:pPr>
      <w:r/>
      <w:bookmarkStart w:id="52" w:name="_Toc179632547"/>
      <w:r/>
      <w:bookmarkStart w:id="53" w:name="_Toc426469872"/>
      <w:r/>
      <w:bookmarkStart w:id="54" w:name="_Toc383438593"/>
      <w:r/>
      <w:bookmarkStart w:id="55" w:name="_Toc152042306"/>
      <w:r/>
      <w:bookmarkStart w:id="56" w:name="_Toc343525506"/>
      <w:r/>
      <w:bookmarkStart w:id="57" w:name="_Toc246996919"/>
      <w:r/>
      <w:bookmarkStart w:id="58" w:name="_Toc144974498"/>
      <w:r/>
      <w:bookmarkStart w:id="59" w:name="_Toc152045530"/>
      <w:r/>
      <w:bookmarkStart w:id="60" w:name="_Toc247085690"/>
      <w:r/>
      <w:bookmarkStart w:id="61" w:name="_Toc246996176"/>
      <w:r/>
      <w:bookmarkStart w:id="62" w:name="_Toc367784996"/>
      <w:r>
        <w:rPr>
          <w:rFonts w:hint="eastAsia" w:ascii="宋体" w:hAnsi="宋体" w:cs="宋体"/>
          <w:b/>
          <w:sz w:val="28"/>
          <w:szCs w:val="28"/>
        </w:rPr>
        <w:t xml:space="preserve">1.1 项目概况</w:t>
      </w:r>
      <w:bookmarkEnd w:id="52"/>
      <w:r/>
      <w:bookmarkEnd w:id="53"/>
      <w:r/>
      <w:bookmarkEnd w:id="54"/>
      <w:r/>
      <w:bookmarkEnd w:id="55"/>
      <w:r/>
      <w:bookmarkEnd w:id="56"/>
      <w:r/>
      <w:bookmarkEnd w:id="57"/>
      <w:r/>
      <w:bookmarkEnd w:id="58"/>
      <w:r/>
      <w:bookmarkEnd w:id="59"/>
      <w:r/>
      <w:bookmarkEnd w:id="60"/>
      <w:r/>
      <w:bookmarkEnd w:id="61"/>
      <w:r/>
      <w:r/>
    </w:p>
    <w:p>
      <w:pPr>
        <w:ind w:firstLine="560"/>
        <w:spacing w:line="490" w:lineRule="exact"/>
        <w:rPr>
          <w:rFonts w:ascii="宋体" w:hAnsi="宋体" w:cs="宋体"/>
          <w:sz w:val="28"/>
          <w:szCs w:val="28"/>
        </w:rPr>
      </w:pPr>
      <w:r>
        <w:rPr>
          <w:rFonts w:hint="eastAsia" w:ascii="宋体" w:hAnsi="宋体" w:cs="宋体"/>
          <w:sz w:val="28"/>
          <w:szCs w:val="28"/>
        </w:rPr>
        <w:t xml:space="preserve">1.1.1根据《中华人民共和国政府采购法》、《中华人民共和国政府采购法实施条例》等有关法律、法规和规章的规定，本采购项目已具备采购条件，现对本项目进行公开招标。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hAnsi="宋体" w:cs="宋体"/>
          <w:sz w:val="28"/>
          <w:szCs w:val="28"/>
        </w:rPr>
      </w:pPr>
      <w:r>
        <w:rPr>
          <w:rFonts w:hint="eastAsia" w:ascii="宋体" w:hAnsi="宋体" w:cs="宋体"/>
          <w:sz w:val="28"/>
          <w:szCs w:val="28"/>
        </w:rPr>
        <w:t xml:space="preserve">1.1.2 招标人：见供应商须知前附表。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1.1.3 采购代理机构：见供应商须知前附表。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1.1.4 项目名称及项目编号：见供应商须知前附表。</w:t>
      </w:r>
      <w:r/>
    </w:p>
    <w:p>
      <w:pPr>
        <w:spacing w:line="490" w:lineRule="exact"/>
        <w:rPr>
          <w:rFonts w:ascii="宋体" w:hAnsi="宋体" w:cs="宋体"/>
          <w:b/>
          <w:sz w:val="28"/>
          <w:szCs w:val="28"/>
        </w:rPr>
      </w:pPr>
      <w:r/>
      <w:bookmarkStart w:id="63" w:name="_Toc246996920"/>
      <w:r/>
      <w:bookmarkStart w:id="64" w:name="_Toc426469873"/>
      <w:r/>
      <w:bookmarkStart w:id="65" w:name="_Toc343525507"/>
      <w:r/>
      <w:bookmarkStart w:id="66" w:name="_Toc152042307"/>
      <w:r/>
      <w:bookmarkStart w:id="67" w:name="_Toc179632548"/>
      <w:r/>
      <w:bookmarkStart w:id="68" w:name="_Toc152045531"/>
      <w:r/>
      <w:bookmarkStart w:id="69" w:name="_Toc246996177"/>
      <w:r/>
      <w:bookmarkStart w:id="70" w:name="_Toc383438594"/>
      <w:r/>
      <w:bookmarkStart w:id="71" w:name="_Toc247085691"/>
      <w:r/>
      <w:bookmarkStart w:id="72" w:name="_Toc144974499"/>
      <w:r>
        <w:rPr>
          <w:rFonts w:hint="eastAsia" w:ascii="宋体" w:hAnsi="宋体" w:cs="宋体"/>
          <w:b/>
          <w:sz w:val="28"/>
          <w:szCs w:val="28"/>
        </w:rPr>
        <w:t xml:space="preserve">1.2</w:t>
      </w:r>
      <w:bookmarkEnd w:id="63"/>
      <w:r/>
      <w:bookmarkEnd w:id="64"/>
      <w:r/>
      <w:bookmarkEnd w:id="65"/>
      <w:r/>
      <w:bookmarkEnd w:id="66"/>
      <w:r/>
      <w:bookmarkEnd w:id="67"/>
      <w:r/>
      <w:bookmarkEnd w:id="68"/>
      <w:r/>
      <w:bookmarkEnd w:id="69"/>
      <w:r/>
      <w:bookmarkEnd w:id="70"/>
      <w:r/>
      <w:bookmarkEnd w:id="71"/>
      <w:r/>
      <w:bookmarkEnd w:id="72"/>
      <w:r>
        <w:rPr>
          <w:rFonts w:hint="eastAsia" w:ascii="宋体" w:hAnsi="宋体" w:cs="宋体"/>
          <w:b/>
          <w:sz w:val="28"/>
          <w:szCs w:val="28"/>
        </w:rPr>
        <w:t xml:space="preserve">付款方式</w:t>
      </w:r>
      <w:r/>
    </w:p>
    <w:p>
      <w:pPr>
        <w:ind w:firstLine="560"/>
        <w:spacing w:line="490" w:lineRule="exact"/>
        <w:rPr>
          <w:rFonts w:ascii="宋体" w:hAnsi="宋体" w:cs="宋体"/>
          <w:sz w:val="28"/>
          <w:szCs w:val="28"/>
        </w:rPr>
      </w:pPr>
      <w:r>
        <w:rPr>
          <w:rFonts w:hint="eastAsia" w:ascii="宋体" w:hAnsi="宋体" w:cs="宋体"/>
          <w:sz w:val="28"/>
          <w:szCs w:val="28"/>
        </w:rPr>
        <w:t xml:space="preserve">1.2.1付款方式：见供应商须知前附表。</w:t>
      </w:r>
      <w:r/>
    </w:p>
    <w:p>
      <w:pPr>
        <w:spacing w:line="490" w:lineRule="exact"/>
        <w:rPr>
          <w:rFonts w:ascii="宋体" w:hAnsi="宋体" w:cs="宋体"/>
          <w:b/>
          <w:sz w:val="28"/>
          <w:szCs w:val="28"/>
        </w:rPr>
      </w:pPr>
      <w:r/>
      <w:bookmarkStart w:id="73" w:name="_Toc247085692"/>
      <w:r/>
      <w:bookmarkStart w:id="74" w:name="_Toc383438595"/>
      <w:r/>
      <w:bookmarkStart w:id="75" w:name="_Toc144974500"/>
      <w:r/>
      <w:bookmarkStart w:id="76" w:name="_Toc246996178"/>
      <w:r/>
      <w:bookmarkStart w:id="77" w:name="_Toc246996921"/>
      <w:r/>
      <w:bookmarkStart w:id="78" w:name="_Toc152042308"/>
      <w:r/>
      <w:bookmarkStart w:id="79" w:name="_Toc343525508"/>
      <w:r/>
      <w:bookmarkStart w:id="80" w:name="_Toc179632549"/>
      <w:r/>
      <w:bookmarkStart w:id="81" w:name="_Toc152045532"/>
      <w:r/>
      <w:bookmarkStart w:id="82" w:name="_Toc426469874"/>
      <w:r>
        <w:rPr>
          <w:rFonts w:hint="eastAsia" w:ascii="宋体" w:hAnsi="宋体" w:cs="宋体"/>
          <w:b/>
          <w:sz w:val="28"/>
          <w:szCs w:val="28"/>
        </w:rPr>
        <w:t xml:space="preserve">1.3 </w:t>
      </w:r>
      <w:bookmarkEnd w:id="73"/>
      <w:r/>
      <w:bookmarkEnd w:id="74"/>
      <w:r/>
      <w:bookmarkEnd w:id="75"/>
      <w:r/>
      <w:bookmarkEnd w:id="76"/>
      <w:r/>
      <w:bookmarkEnd w:id="77"/>
      <w:r/>
      <w:bookmarkEnd w:id="78"/>
      <w:r/>
      <w:bookmarkEnd w:id="79"/>
      <w:r/>
      <w:bookmarkEnd w:id="80"/>
      <w:r/>
      <w:bookmarkEnd w:id="81"/>
      <w:r>
        <w:rPr>
          <w:rFonts w:hint="eastAsia" w:ascii="宋体" w:hAnsi="宋体" w:cs="宋体"/>
          <w:b/>
          <w:sz w:val="28"/>
          <w:szCs w:val="28"/>
        </w:rPr>
        <w:t xml:space="preserve">采购范围</w:t>
      </w:r>
      <w:bookmarkEnd w:id="82"/>
      <w:r>
        <w:rPr>
          <w:rFonts w:hint="eastAsia" w:ascii="宋体" w:hAnsi="宋体" w:cs="宋体"/>
          <w:b/>
          <w:sz w:val="28"/>
          <w:szCs w:val="28"/>
        </w:rPr>
        <w:t xml:space="preserve">与合同履行期限</w:t>
      </w:r>
      <w:r/>
    </w:p>
    <w:p>
      <w:pPr>
        <w:ind w:firstLine="560"/>
        <w:spacing w:line="490" w:lineRule="exact"/>
        <w:rPr>
          <w:rFonts w:ascii="宋体" w:hAnsi="宋体" w:cs="宋体"/>
          <w:sz w:val="28"/>
          <w:szCs w:val="28"/>
        </w:rPr>
      </w:pPr>
      <w:r>
        <w:rPr>
          <w:rFonts w:hint="eastAsia" w:ascii="宋体" w:hAnsi="宋体" w:cs="宋体"/>
          <w:sz w:val="28"/>
          <w:szCs w:val="28"/>
        </w:rPr>
        <w:t xml:space="preserve">1.3.1 采购范围：见供应商须知前附表。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1.3.2 合同履行期限：见供应商须知前附表。</w:t>
      </w:r>
      <w:r/>
    </w:p>
    <w:p>
      <w:pPr>
        <w:spacing w:line="490" w:lineRule="exact"/>
        <w:rPr>
          <w:rFonts w:ascii="宋体" w:hAnsi="宋体" w:cs="宋体"/>
          <w:b/>
          <w:sz w:val="28"/>
          <w:szCs w:val="28"/>
        </w:rPr>
      </w:pPr>
      <w:r/>
      <w:bookmarkStart w:id="83" w:name="_Toc152042310"/>
      <w:r/>
      <w:bookmarkStart w:id="84" w:name="_Toc343525509"/>
      <w:r/>
      <w:bookmarkStart w:id="85" w:name="_Toc246996179"/>
      <w:r/>
      <w:bookmarkStart w:id="86" w:name="_Toc152045534"/>
      <w:r/>
      <w:bookmarkStart w:id="87" w:name="_Toc426469875"/>
      <w:r/>
      <w:bookmarkStart w:id="88" w:name="_Toc144974502"/>
      <w:r/>
      <w:bookmarkStart w:id="89" w:name="_Toc179632551"/>
      <w:r/>
      <w:bookmarkStart w:id="90" w:name="_Toc246996922"/>
      <w:r/>
      <w:bookmarkStart w:id="91" w:name="_Toc247085693"/>
      <w:r/>
      <w:bookmarkStart w:id="92" w:name="_Toc383438596"/>
      <w:r>
        <w:rPr>
          <w:rFonts w:hint="eastAsia" w:ascii="宋体" w:hAnsi="宋体" w:cs="宋体"/>
          <w:b/>
          <w:sz w:val="28"/>
          <w:szCs w:val="28"/>
        </w:rPr>
        <w:t xml:space="preserve">1.4 供应商资格要求</w:t>
      </w:r>
      <w:bookmarkEnd w:id="83"/>
      <w:r/>
      <w:bookmarkEnd w:id="84"/>
      <w:r/>
      <w:bookmarkEnd w:id="85"/>
      <w:r/>
      <w:bookmarkEnd w:id="86"/>
      <w:r/>
      <w:bookmarkEnd w:id="87"/>
      <w:r/>
      <w:bookmarkEnd w:id="88"/>
      <w:r/>
      <w:bookmarkEnd w:id="89"/>
      <w:r/>
      <w:bookmarkEnd w:id="90"/>
      <w:r/>
      <w:bookmarkEnd w:id="91"/>
      <w:r/>
      <w:bookmarkEnd w:id="92"/>
      <w:r/>
      <w:r/>
    </w:p>
    <w:p>
      <w:pPr>
        <w:ind w:firstLine="560"/>
        <w:spacing w:line="490" w:lineRule="exact"/>
        <w:rPr>
          <w:rFonts w:ascii="宋体" w:hAnsi="宋体" w:cs="宋体"/>
          <w:sz w:val="28"/>
          <w:szCs w:val="28"/>
        </w:rPr>
      </w:pPr>
      <w:r>
        <w:rPr>
          <w:rFonts w:hint="eastAsia" w:ascii="宋体" w:hAnsi="宋体" w:cs="宋体"/>
          <w:sz w:val="28"/>
          <w:szCs w:val="28"/>
        </w:rPr>
        <w:t xml:space="preserve">1.4.1 供应商参加政府采购活动应当具备下列条件：</w:t>
      </w:r>
      <w:r/>
    </w:p>
    <w:p>
      <w:pPr>
        <w:ind w:firstLine="560"/>
        <w:spacing w:line="490" w:lineRule="exact"/>
        <w:rPr>
          <w:rFonts w:ascii="宋体" w:hAnsi="宋体" w:cs="宋体"/>
          <w:sz w:val="28"/>
          <w:szCs w:val="28"/>
        </w:rPr>
      </w:pPr>
      <w:r>
        <w:rPr>
          <w:rFonts w:hint="eastAsia" w:ascii="宋体" w:hAnsi="宋体" w:cs="宋体"/>
          <w:sz w:val="28"/>
          <w:szCs w:val="28"/>
        </w:rPr>
        <w:t xml:space="preserve">（1）具有独立承担民事责任的能力；</w:t>
      </w:r>
      <w:r/>
    </w:p>
    <w:p>
      <w:pPr>
        <w:ind w:firstLine="560"/>
        <w:spacing w:line="490" w:lineRule="exact"/>
        <w:rPr>
          <w:rFonts w:ascii="宋体" w:hAnsi="宋体" w:cs="宋体"/>
          <w:sz w:val="28"/>
          <w:szCs w:val="28"/>
        </w:rPr>
      </w:pPr>
      <w:r>
        <w:rPr>
          <w:rFonts w:hint="eastAsia" w:ascii="宋体" w:hAnsi="宋体" w:cs="宋体"/>
          <w:sz w:val="28"/>
          <w:szCs w:val="28"/>
        </w:rPr>
        <w:t xml:space="preserve">（2）具有良好的商业信誉和健全的财务会计制度；</w:t>
      </w:r>
      <w:r/>
    </w:p>
    <w:p>
      <w:pPr>
        <w:ind w:firstLine="560"/>
        <w:spacing w:line="490" w:lineRule="exact"/>
        <w:rPr>
          <w:rFonts w:ascii="宋体" w:hAnsi="宋体" w:cs="宋体"/>
          <w:sz w:val="28"/>
          <w:szCs w:val="28"/>
        </w:rPr>
      </w:pPr>
      <w:r>
        <w:rPr>
          <w:rFonts w:hint="eastAsia" w:ascii="宋体" w:hAnsi="宋体" w:cs="宋体"/>
          <w:sz w:val="28"/>
          <w:szCs w:val="28"/>
        </w:rPr>
        <w:t xml:space="preserve">（3）具有履行合同所必需的设备和专业技术能力；</w:t>
      </w:r>
      <w:r/>
    </w:p>
    <w:p>
      <w:pPr>
        <w:ind w:firstLine="560"/>
        <w:spacing w:line="490" w:lineRule="exact"/>
        <w:rPr>
          <w:rFonts w:ascii="宋体" w:hAnsi="宋体" w:cs="宋体"/>
          <w:sz w:val="28"/>
          <w:szCs w:val="28"/>
        </w:rPr>
      </w:pPr>
      <w:r>
        <w:rPr>
          <w:rFonts w:hint="eastAsia" w:ascii="宋体" w:hAnsi="宋体" w:cs="宋体"/>
          <w:sz w:val="28"/>
          <w:szCs w:val="28"/>
        </w:rPr>
        <w:t xml:space="preserve">（4）有依法缴纳税收和社会保障资金的良好记录；</w:t>
      </w:r>
      <w:r/>
    </w:p>
    <w:p>
      <w:pPr>
        <w:ind w:firstLine="560"/>
        <w:spacing w:line="490" w:lineRule="exact"/>
        <w:rPr>
          <w:rFonts w:ascii="宋体" w:hAnsi="宋体" w:cs="宋体"/>
          <w:sz w:val="28"/>
          <w:szCs w:val="28"/>
        </w:rPr>
      </w:pPr>
      <w:r>
        <w:rPr>
          <w:rFonts w:hint="eastAsia" w:ascii="宋体" w:hAnsi="宋体" w:cs="宋体"/>
          <w:sz w:val="28"/>
          <w:szCs w:val="28"/>
        </w:rPr>
        <w:t xml:space="preserve">（5）参加政府采购活动前三年内，在经营活动中没有重大违法记录；</w:t>
      </w:r>
      <w:r/>
    </w:p>
    <w:p>
      <w:pPr>
        <w:ind w:firstLine="560"/>
        <w:spacing w:line="490" w:lineRule="exact"/>
        <w:rPr>
          <w:rFonts w:ascii="宋体" w:hAnsi="宋体" w:cs="宋体"/>
          <w:sz w:val="28"/>
          <w:szCs w:val="28"/>
        </w:rPr>
      </w:pPr>
      <w:r>
        <w:rPr>
          <w:rFonts w:hint="eastAsia" w:ascii="宋体" w:hAnsi="宋体" w:cs="宋体"/>
          <w:sz w:val="28"/>
          <w:szCs w:val="28"/>
        </w:rPr>
        <w:t xml:space="preserve">（6）法律、行政法规规定的其他条件。</w:t>
      </w:r>
      <w:r/>
    </w:p>
    <w:p>
      <w:pPr>
        <w:spacing w:line="490" w:lineRule="exact"/>
        <w:rPr>
          <w:rFonts w:ascii="宋体" w:hAnsi="宋体" w:cs="宋体"/>
          <w:sz w:val="28"/>
          <w:szCs w:val="28"/>
        </w:rPr>
      </w:pPr>
      <w:r>
        <w:rPr>
          <w:rFonts w:hint="eastAsia" w:ascii="宋体" w:hAnsi="宋体" w:cs="宋体"/>
          <w:sz w:val="28"/>
          <w:szCs w:val="28"/>
        </w:rPr>
        <w:t xml:space="preserve">1.4.2根据采购项目特殊要求，要求供应商具备的特定条件：见供应商须知前附表。</w:t>
      </w:r>
      <w:r/>
    </w:p>
    <w:p>
      <w:pPr>
        <w:spacing w:line="490" w:lineRule="exact"/>
        <w:rPr>
          <w:rFonts w:ascii="宋体" w:hAnsi="宋体" w:cs="宋体"/>
          <w:sz w:val="28"/>
          <w:szCs w:val="28"/>
        </w:rPr>
      </w:pPr>
      <w:r>
        <w:rPr>
          <w:rFonts w:hint="eastAsia" w:ascii="宋体" w:hAnsi="宋体" w:cs="宋体"/>
          <w:sz w:val="28"/>
          <w:szCs w:val="28"/>
        </w:rPr>
        <w:t xml:space="preserve">1.4.3供应商不得存在下列情形之一：</w:t>
      </w:r>
      <w:r/>
    </w:p>
    <w:p>
      <w:pPr>
        <w:ind w:firstLine="560"/>
        <w:spacing w:line="490" w:lineRule="exact"/>
        <w:rPr>
          <w:rFonts w:ascii="宋体" w:hAnsi="宋体" w:cs="宋体"/>
          <w:sz w:val="28"/>
          <w:szCs w:val="28"/>
        </w:rPr>
      </w:pPr>
      <w:r>
        <w:rPr>
          <w:rFonts w:hint="eastAsia" w:ascii="宋体" w:hAnsi="宋体" w:cs="宋体"/>
          <w:sz w:val="28"/>
          <w:szCs w:val="28"/>
        </w:rPr>
        <w:t xml:space="preserve">（l）与招标人或采购代理机构存在隶属关系或者其他利害关系；</w:t>
      </w:r>
      <w:r/>
    </w:p>
    <w:p>
      <w:pPr>
        <w:ind w:firstLine="560"/>
        <w:spacing w:line="490" w:lineRule="exact"/>
        <w:rPr>
          <w:rFonts w:ascii="宋体" w:hAnsi="宋体" w:cs="宋体"/>
          <w:sz w:val="28"/>
          <w:szCs w:val="28"/>
        </w:rPr>
      </w:pPr>
      <w:r>
        <w:rPr>
          <w:rFonts w:hint="eastAsia" w:ascii="宋体" w:hAnsi="宋体" w:cs="宋体"/>
          <w:sz w:val="28"/>
          <w:szCs w:val="28"/>
        </w:rPr>
        <w:t xml:space="preserve">（2）为采购项目提供了整体设计、规范编制或者项目管理、监理、检测等服务；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（3）单位负责人为同一人或者存在直接控股、管理关系的不同供应商，参加同一合同项下的政府采购活动。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（5）法律、行政法规规定的其他条件。</w:t>
      </w:r>
      <w:r/>
    </w:p>
    <w:p>
      <w:pPr>
        <w:spacing w:line="490" w:lineRule="exact"/>
        <w:rPr>
          <w:rFonts w:ascii="宋体" w:hAnsi="宋体" w:cs="宋体"/>
          <w:b/>
          <w:sz w:val="28"/>
          <w:szCs w:val="28"/>
        </w:rPr>
      </w:pPr>
      <w:r/>
      <w:bookmarkStart w:id="93" w:name="_Toc343525510"/>
      <w:r/>
      <w:bookmarkStart w:id="94" w:name="_Toc152042311"/>
      <w:r/>
      <w:bookmarkStart w:id="95" w:name="_Toc144974503"/>
      <w:r/>
      <w:bookmarkStart w:id="96" w:name="_Toc152045535"/>
      <w:r/>
      <w:bookmarkStart w:id="97" w:name="_Toc179632552"/>
      <w:r/>
      <w:bookmarkStart w:id="98" w:name="_Toc383438597"/>
      <w:r/>
      <w:bookmarkStart w:id="99" w:name="_Toc246996180"/>
      <w:r/>
      <w:bookmarkStart w:id="100" w:name="_Toc426469876"/>
      <w:r/>
      <w:bookmarkStart w:id="101" w:name="_Toc246996923"/>
      <w:r/>
      <w:bookmarkStart w:id="102" w:name="_Toc247085694"/>
      <w:r>
        <w:rPr>
          <w:rFonts w:hint="eastAsia" w:ascii="宋体" w:hAnsi="宋体" w:cs="宋体"/>
          <w:b/>
          <w:sz w:val="28"/>
          <w:szCs w:val="28"/>
        </w:rPr>
        <w:t xml:space="preserve">1.5费用承担</w:t>
      </w:r>
      <w:bookmarkEnd w:id="93"/>
      <w:r/>
      <w:bookmarkEnd w:id="94"/>
      <w:r/>
      <w:bookmarkEnd w:id="95"/>
      <w:r/>
      <w:bookmarkEnd w:id="96"/>
      <w:r/>
      <w:bookmarkEnd w:id="97"/>
      <w:r/>
      <w:bookmarkEnd w:id="98"/>
      <w:r/>
      <w:bookmarkEnd w:id="99"/>
      <w:r/>
      <w:bookmarkEnd w:id="100"/>
      <w:r/>
      <w:bookmarkEnd w:id="101"/>
      <w:r/>
      <w:bookmarkEnd w:id="102"/>
      <w:r/>
      <w:r/>
    </w:p>
    <w:p>
      <w:pPr>
        <w:ind w:firstLine="560"/>
        <w:spacing w:line="490" w:lineRule="exact"/>
        <w:rPr>
          <w:rFonts w:ascii="宋体" w:hAnsi="宋体" w:cs="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宋体" w:hAnsi="宋体" w:cs="宋体"/>
          <w:b/>
          <w:sz w:val="28"/>
          <w:szCs w:val="28"/>
        </w:rPr>
      </w:pPr>
      <w:r/>
      <w:bookmarkStart w:id="103" w:name="_Toc144974505"/>
      <w:r/>
      <w:bookmarkStart w:id="104" w:name="_Toc247085696"/>
      <w:r/>
      <w:bookmarkStart w:id="105" w:name="_Toc152042313"/>
      <w:r/>
      <w:bookmarkStart w:id="106" w:name="_Toc179632554"/>
      <w:r/>
      <w:bookmarkStart w:id="107" w:name="_Toc246996925"/>
      <w:r/>
      <w:bookmarkStart w:id="108" w:name="_Toc383438599"/>
      <w:r/>
      <w:bookmarkStart w:id="109" w:name="_Toc426469878"/>
      <w:r/>
      <w:bookmarkStart w:id="110" w:name="_Toc152045537"/>
      <w:r/>
      <w:bookmarkStart w:id="111" w:name="_Toc343525512"/>
      <w:r/>
      <w:bookmarkStart w:id="112" w:name="_Toc246996182"/>
      <w:r>
        <w:rPr>
          <w:rFonts w:hint="eastAsia" w:ascii="宋体" w:hAnsi="宋体" w:cs="宋体"/>
          <w:b/>
          <w:sz w:val="28"/>
          <w:szCs w:val="28"/>
        </w:rPr>
        <w:t xml:space="preserve">1.6语言</w:t>
      </w:r>
      <w:bookmarkEnd w:id="103"/>
      <w:r>
        <w:rPr>
          <w:rFonts w:hint="eastAsia" w:ascii="宋体" w:hAnsi="宋体" w:cs="宋体"/>
          <w:b/>
          <w:sz w:val="28"/>
          <w:szCs w:val="28"/>
        </w:rPr>
        <w:t xml:space="preserve">文字</w:t>
      </w:r>
      <w:bookmarkEnd w:id="104"/>
      <w:r/>
      <w:bookmarkEnd w:id="105"/>
      <w:r/>
      <w:bookmarkEnd w:id="106"/>
      <w:r/>
      <w:bookmarkEnd w:id="107"/>
      <w:r/>
      <w:bookmarkEnd w:id="108"/>
      <w:r/>
      <w:bookmarkEnd w:id="109"/>
      <w:r/>
      <w:bookmarkEnd w:id="110"/>
      <w:r/>
      <w:bookmarkEnd w:id="111"/>
      <w:r/>
      <w:bookmarkEnd w:id="112"/>
      <w:r/>
      <w:r/>
    </w:p>
    <w:p>
      <w:pPr>
        <w:ind w:firstLine="560"/>
        <w:spacing w:line="490" w:lineRule="exact"/>
        <w:rPr>
          <w:rFonts w:ascii="宋体" w:hAnsi="宋体" w:cs="宋体"/>
          <w:sz w:val="28"/>
          <w:szCs w:val="28"/>
        </w:rPr>
      </w:pPr>
      <w:r/>
      <w:bookmarkStart w:id="113" w:name="_Toc179632555"/>
      <w:r/>
      <w:bookmarkStart w:id="114" w:name="_Toc246996926"/>
      <w:r/>
      <w:bookmarkStart w:id="115" w:name="_Toc152042314"/>
      <w:r/>
      <w:bookmarkStart w:id="116" w:name="_Toc144974506"/>
      <w:r/>
      <w:bookmarkStart w:id="117" w:name="_Toc246996183"/>
      <w:r/>
      <w:bookmarkStart w:id="118" w:name="_Toc247085697"/>
      <w:r/>
      <w:bookmarkStart w:id="119" w:name="_Toc152045538"/>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宋体" w:hAnsi="宋体" w:cs="宋体"/>
          <w:b/>
          <w:sz w:val="28"/>
          <w:szCs w:val="28"/>
        </w:rPr>
      </w:pPr>
      <w:r/>
      <w:bookmarkStart w:id="120" w:name="_Toc426469879"/>
      <w:r/>
      <w:bookmarkStart w:id="121" w:name="_Toc383438600"/>
      <w:r/>
      <w:bookmarkStart w:id="122" w:name="_Toc343525513"/>
      <w:r>
        <w:rPr>
          <w:rFonts w:hint="eastAsia" w:ascii="宋体" w:hAnsi="宋体" w:cs="宋体"/>
          <w:b/>
          <w:sz w:val="28"/>
          <w:szCs w:val="28"/>
        </w:rPr>
        <w:t xml:space="preserve">1.7 计量单位</w:t>
      </w:r>
      <w:bookmarkEnd w:id="113"/>
      <w:r/>
      <w:bookmarkEnd w:id="114"/>
      <w:r/>
      <w:bookmarkEnd w:id="115"/>
      <w:r/>
      <w:bookmarkEnd w:id="116"/>
      <w:r/>
      <w:bookmarkEnd w:id="117"/>
      <w:r/>
      <w:bookmarkEnd w:id="118"/>
      <w:r/>
      <w:bookmarkEnd w:id="119"/>
      <w:r/>
      <w:bookmarkEnd w:id="120"/>
      <w:r/>
      <w:bookmarkEnd w:id="121"/>
      <w:r/>
      <w:bookmarkEnd w:id="122"/>
      <w:r/>
      <w:r/>
    </w:p>
    <w:p>
      <w:pPr>
        <w:ind w:firstLine="560"/>
        <w:spacing w:line="490" w:lineRule="exact"/>
        <w:rPr>
          <w:rFonts w:ascii="宋体" w:hAnsi="宋体" w:cs="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宋体" w:hAnsi="宋体" w:cs="宋体"/>
          <w:b/>
          <w:sz w:val="28"/>
          <w:szCs w:val="28"/>
        </w:rPr>
      </w:pPr>
      <w:r/>
      <w:bookmarkStart w:id="123" w:name="_Toc426469881"/>
      <w:r>
        <w:rPr>
          <w:rFonts w:hint="eastAsia" w:ascii="宋体" w:hAnsi="宋体" w:cs="宋体"/>
          <w:b/>
          <w:sz w:val="28"/>
          <w:szCs w:val="28"/>
        </w:rPr>
        <w:t xml:space="preserve">1.8偏离</w:t>
      </w:r>
      <w:bookmarkEnd w:id="123"/>
      <w:r/>
      <w:r/>
    </w:p>
    <w:p>
      <w:pPr>
        <w:ind w:firstLine="560"/>
        <w:spacing w:line="490" w:lineRule="exact"/>
        <w:rPr>
          <w:rFonts w:ascii="宋体" w:hAnsi="宋体" w:cs="宋体"/>
          <w:sz w:val="28"/>
          <w:szCs w:val="28"/>
        </w:rPr>
      </w:pPr>
      <w:r>
        <w:rPr>
          <w:rFonts w:hint="eastAsia" w:ascii="宋体" w:hAnsi="宋体" w:cs="宋体"/>
          <w:sz w:val="28"/>
          <w:szCs w:val="28"/>
        </w:rPr>
        <w:t xml:space="preserve">1.8.1偏离是指投标文件中的内容与招标文件中规定的技术参数、标准、服务要求等不一致的情形。优于招标文件规定的技术参数、标准、服务要求的为正偏离，反之为负偏离。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hint="eastAsia" w:ascii="宋体" w:hAnsi="宋体" w:cs="宋体"/>
          <w:sz w:val="28"/>
          <w:szCs w:val="28"/>
        </w:rPr>
        <w:t xml:space="preserve">1.8.2偏离的具体要求见供应商须知前附表。</w:t>
      </w:r>
      <w:r/>
    </w:p>
    <w:p>
      <w:pPr>
        <w:spacing w:line="490" w:lineRule="exact"/>
        <w:rPr>
          <w:rFonts w:ascii="宋体" w:hAnsi="宋体" w:cs="宋体"/>
          <w:sz w:val="32"/>
          <w:szCs w:val="32"/>
        </w:rPr>
      </w:pPr>
      <w:r/>
      <w:bookmarkStart w:id="124" w:name="_Toc343525517"/>
      <w:r/>
      <w:bookmarkStart w:id="125" w:name="_Toc383438604"/>
      <w:r/>
      <w:bookmarkStart w:id="126" w:name="_Toc426469882"/>
      <w:r>
        <w:rPr>
          <w:rFonts w:hint="eastAsia" w:ascii="宋体" w:hAnsi="宋体" w:cs="宋体"/>
          <w:sz w:val="32"/>
          <w:szCs w:val="32"/>
        </w:rPr>
        <w:t xml:space="preserve">2. 招标文件</w:t>
      </w:r>
      <w:bookmarkEnd w:id="124"/>
      <w:r/>
      <w:bookmarkEnd w:id="125"/>
      <w:r/>
      <w:bookmarkEnd w:id="126"/>
      <w:r/>
      <w:r/>
    </w:p>
    <w:p>
      <w:pPr>
        <w:spacing w:line="490" w:lineRule="exact"/>
        <w:rPr>
          <w:rFonts w:ascii="宋体" w:hAnsi="宋体" w:cs="宋体"/>
          <w:b/>
          <w:sz w:val="28"/>
          <w:szCs w:val="28"/>
        </w:rPr>
      </w:pPr>
      <w:r/>
      <w:bookmarkStart w:id="127" w:name="_Toc426469883"/>
      <w:r/>
      <w:bookmarkStart w:id="128" w:name="_Toc179632561"/>
      <w:r/>
      <w:bookmarkStart w:id="129" w:name="_Toc246996188"/>
      <w:r/>
      <w:bookmarkStart w:id="130" w:name="_Toc343525518"/>
      <w:r/>
      <w:bookmarkStart w:id="131" w:name="_Toc144974511"/>
      <w:r/>
      <w:bookmarkStart w:id="132" w:name="_Toc152045543"/>
      <w:r/>
      <w:bookmarkStart w:id="133" w:name="_Toc152042319"/>
      <w:r/>
      <w:bookmarkStart w:id="134" w:name="_Toc383438605"/>
      <w:r/>
      <w:bookmarkStart w:id="135" w:name="_Toc246996931"/>
      <w:r/>
      <w:bookmarkStart w:id="136" w:name="_Toc247085702"/>
      <w:r>
        <w:rPr>
          <w:rFonts w:hint="eastAsia" w:ascii="宋体" w:hAnsi="宋体" w:cs="宋体"/>
          <w:b/>
          <w:sz w:val="28"/>
          <w:szCs w:val="28"/>
        </w:rPr>
        <w:t xml:space="preserve">2.1 招标文件的组成</w:t>
      </w:r>
      <w:bookmarkEnd w:id="127"/>
      <w:r/>
      <w:bookmarkEnd w:id="128"/>
      <w:r/>
      <w:bookmarkEnd w:id="129"/>
      <w:r/>
      <w:bookmarkEnd w:id="130"/>
      <w:r/>
      <w:bookmarkEnd w:id="131"/>
      <w:r/>
      <w:bookmarkEnd w:id="132"/>
      <w:r/>
      <w:bookmarkEnd w:id="133"/>
      <w:r/>
      <w:bookmarkEnd w:id="134"/>
      <w:r/>
      <w:bookmarkEnd w:id="135"/>
      <w:r/>
      <w:bookmarkEnd w:id="136"/>
      <w:r/>
      <w:r/>
    </w:p>
    <w:p>
      <w:pPr>
        <w:ind w:firstLine="560"/>
        <w:spacing w:line="490" w:lineRule="exact"/>
        <w:rPr>
          <w:rFonts w:ascii="宋体" w:hAnsi="宋体" w:cs="宋体"/>
          <w:sz w:val="28"/>
          <w:szCs w:val="28"/>
        </w:rPr>
      </w:pPr>
      <w:r>
        <w:rPr>
          <w:rFonts w:hint="eastAsia" w:ascii="宋体" w:hAnsi="宋体" w:cs="宋体"/>
          <w:sz w:val="28"/>
          <w:szCs w:val="28"/>
        </w:rPr>
        <w:t xml:space="preserve">2.1.1 本招标文件包括：</w:t>
      </w:r>
      <w:r/>
    </w:p>
    <w:p>
      <w:pPr>
        <w:ind w:firstLine="560"/>
        <w:spacing w:line="490" w:lineRule="exact"/>
        <w:rPr>
          <w:rFonts w:ascii="宋体" w:hAnsi="宋体" w:cs="宋体"/>
          <w:sz w:val="28"/>
          <w:szCs w:val="28"/>
        </w:rPr>
      </w:pPr>
      <w:r>
        <w:rPr>
          <w:rFonts w:hint="eastAsia" w:ascii="宋体" w:hAnsi="宋体" w:cs="宋体"/>
          <w:sz w:val="28"/>
          <w:szCs w:val="28"/>
        </w:rPr>
        <w:t xml:space="preserve">（1）招标公告；</w:t>
      </w:r>
      <w:r/>
    </w:p>
    <w:p>
      <w:pPr>
        <w:ind w:firstLine="560"/>
        <w:spacing w:line="490" w:lineRule="exact"/>
        <w:rPr>
          <w:rFonts w:ascii="宋体" w:hAnsi="宋体" w:cs="宋体"/>
          <w:sz w:val="28"/>
          <w:szCs w:val="28"/>
        </w:rPr>
      </w:pPr>
      <w:r>
        <w:rPr>
          <w:rFonts w:hint="eastAsia" w:ascii="宋体" w:hAnsi="宋体" w:cs="宋体"/>
          <w:sz w:val="28"/>
          <w:szCs w:val="28"/>
        </w:rPr>
        <w:t xml:space="preserve">（2）供应商须知；</w:t>
      </w:r>
      <w:r/>
    </w:p>
    <w:p>
      <w:pPr>
        <w:ind w:firstLine="560"/>
        <w:spacing w:line="490" w:lineRule="exact"/>
        <w:rPr>
          <w:rFonts w:ascii="宋体" w:hAnsi="宋体" w:cs="宋体"/>
          <w:sz w:val="28"/>
          <w:szCs w:val="28"/>
        </w:rPr>
      </w:pPr>
      <w:r>
        <w:rPr>
          <w:rFonts w:hint="eastAsia" w:ascii="宋体" w:hAnsi="宋体" w:cs="宋体"/>
          <w:sz w:val="28"/>
          <w:szCs w:val="28"/>
        </w:rPr>
        <w:t xml:space="preserve">（3）评标办法；</w:t>
      </w:r>
      <w:r/>
    </w:p>
    <w:p>
      <w:pPr>
        <w:ind w:firstLine="560"/>
        <w:spacing w:line="490" w:lineRule="exact"/>
        <w:rPr>
          <w:rFonts w:ascii="宋体" w:hAnsi="宋体" w:cs="宋体"/>
          <w:sz w:val="28"/>
          <w:szCs w:val="28"/>
        </w:rPr>
      </w:pPr>
      <w:r>
        <w:rPr>
          <w:rFonts w:hint="eastAsia" w:ascii="宋体" w:hAnsi="宋体" w:cs="宋体"/>
          <w:sz w:val="28"/>
          <w:szCs w:val="28"/>
        </w:rPr>
        <w:t xml:space="preserve">（4）合同条款及格式；</w:t>
      </w:r>
      <w:r/>
    </w:p>
    <w:p>
      <w:pPr>
        <w:ind w:firstLine="560"/>
        <w:spacing w:line="490" w:lineRule="exact"/>
        <w:rPr>
          <w:rFonts w:ascii="宋体" w:hAnsi="宋体" w:cs="宋体"/>
          <w:sz w:val="28"/>
          <w:szCs w:val="28"/>
        </w:rPr>
      </w:pPr>
      <w:r>
        <w:rPr>
          <w:rFonts w:hint="eastAsia" w:ascii="宋体" w:hAnsi="宋体" w:cs="宋体"/>
          <w:sz w:val="28"/>
          <w:szCs w:val="28"/>
        </w:rPr>
        <w:t xml:space="preserve">（5）采购需求； </w:t>
      </w:r>
      <w:r/>
    </w:p>
    <w:p>
      <w:pPr>
        <w:ind w:firstLine="560"/>
        <w:spacing w:line="490" w:lineRule="exact"/>
        <w:rPr>
          <w:rFonts w:ascii="宋体" w:hAnsi="宋体" w:cs="宋体"/>
          <w:sz w:val="28"/>
          <w:szCs w:val="28"/>
        </w:rPr>
      </w:pPr>
      <w:r>
        <w:rPr>
          <w:rFonts w:hint="eastAsia" w:ascii="宋体" w:hAnsi="宋体" w:cs="宋体"/>
          <w:sz w:val="28"/>
          <w:szCs w:val="28"/>
        </w:rPr>
        <w:t xml:space="preserve">（6）投标文件的编制要求及参考格式；</w:t>
      </w:r>
      <w:r/>
    </w:p>
    <w:p>
      <w:pPr>
        <w:ind w:firstLine="560"/>
        <w:spacing w:line="490" w:lineRule="exact"/>
        <w:rPr>
          <w:rFonts w:ascii="宋体" w:hAnsi="宋体" w:cs="宋体"/>
          <w:sz w:val="28"/>
          <w:szCs w:val="28"/>
        </w:rPr>
      </w:pPr>
      <w:r>
        <w:rPr>
          <w:rFonts w:hint="eastAsia" w:ascii="宋体" w:hAnsi="宋体" w:cs="宋体"/>
          <w:sz w:val="28"/>
          <w:szCs w:val="28"/>
        </w:rPr>
        <w:t xml:space="preserve">（7）供应商须知前附表规定的构成招标文件的其他材料。</w:t>
      </w:r>
      <w:r/>
    </w:p>
    <w:p>
      <w:pPr>
        <w:ind w:firstLine="560"/>
        <w:spacing w:line="490" w:lineRule="exact"/>
        <w:rPr>
          <w:rFonts w:ascii="宋体" w:hAnsi="宋体" w:cs="宋体"/>
          <w:sz w:val="28"/>
          <w:szCs w:val="28"/>
        </w:rPr>
      </w:pPr>
      <w:r>
        <w:rPr>
          <w:rFonts w:hint="eastAsia" w:ascii="宋体" w:hAnsi="宋体" w:cs="宋体"/>
          <w:sz w:val="28"/>
          <w:szCs w:val="28"/>
        </w:rPr>
        <w:t xml:space="preserve">2.1.2根据本章第2.2款和第2.3款对招标文件所作的澄清、修改，构成招标文件的组成部分。</w:t>
      </w:r>
      <w:r/>
    </w:p>
    <w:p>
      <w:pPr>
        <w:spacing w:line="490" w:lineRule="exact"/>
        <w:rPr>
          <w:rFonts w:ascii="宋体" w:hAnsi="宋体" w:cs="宋体"/>
          <w:b/>
          <w:sz w:val="28"/>
          <w:szCs w:val="28"/>
        </w:rPr>
      </w:pPr>
      <w:r/>
      <w:bookmarkStart w:id="137" w:name="_Toc383438606"/>
      <w:r/>
      <w:bookmarkStart w:id="138" w:name="_Toc247085703"/>
      <w:r/>
      <w:bookmarkStart w:id="139" w:name="_Toc246996189"/>
      <w:r/>
      <w:bookmarkStart w:id="140" w:name="_Toc246996932"/>
      <w:r/>
      <w:bookmarkStart w:id="141" w:name="_Toc426469884"/>
      <w:r/>
      <w:bookmarkStart w:id="142" w:name="_Toc179632562"/>
      <w:r/>
      <w:bookmarkStart w:id="143" w:name="_Toc152042320"/>
      <w:r/>
      <w:bookmarkStart w:id="144" w:name="_Toc152045544"/>
      <w:r/>
      <w:bookmarkStart w:id="145" w:name="_Toc144974512"/>
      <w:r/>
      <w:bookmarkStart w:id="146" w:name="_Toc343525519"/>
      <w:r>
        <w:rPr>
          <w:rFonts w:hint="eastAsia" w:ascii="宋体" w:hAnsi="宋体" w:cs="宋体"/>
          <w:b/>
          <w:sz w:val="28"/>
          <w:szCs w:val="28"/>
        </w:rPr>
        <w:t xml:space="preserve">2.2 招标文件的澄清</w:t>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cs="宋体"/>
          <w:b/>
          <w:sz w:val="28"/>
          <w:szCs w:val="28"/>
        </w:rPr>
        <w:t xml:space="preserve"> </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ascii="宋体" w:hAnsi="宋体" w:cs="宋体"/>
          <w:b/>
          <w:sz w:val="28"/>
          <w:szCs w:val="28"/>
        </w:rPr>
      </w:pPr>
      <w:r/>
      <w:bookmarkStart w:id="147" w:name="_Toc426469885"/>
      <w:r/>
      <w:bookmarkStart w:id="148" w:name="_Toc246996933"/>
      <w:r/>
      <w:bookmarkStart w:id="149" w:name="_Toc383438607"/>
      <w:r/>
      <w:bookmarkStart w:id="150" w:name="_Toc246996190"/>
      <w:r/>
      <w:bookmarkStart w:id="151" w:name="_Toc247085704"/>
      <w:r/>
      <w:bookmarkStart w:id="152" w:name="_Toc343525520"/>
      <w:r/>
      <w:bookmarkStart w:id="153" w:name="_Toc152045545"/>
      <w:r/>
      <w:bookmarkStart w:id="154" w:name="_Toc152042321"/>
      <w:r/>
      <w:bookmarkStart w:id="155" w:name="_Toc144974513"/>
      <w:r/>
      <w:bookmarkStart w:id="156" w:name="_Toc179632563"/>
      <w:r>
        <w:rPr>
          <w:rFonts w:hint="eastAsia" w:ascii="宋体" w:hAnsi="宋体" w:cs="宋体"/>
          <w:b/>
          <w:sz w:val="28"/>
          <w:szCs w:val="28"/>
        </w:rPr>
        <w:t xml:space="preserve">2.3 招标文件的修改</w:t>
      </w:r>
      <w:bookmarkEnd w:id="147"/>
      <w:r/>
      <w:bookmarkEnd w:id="148"/>
      <w:r/>
      <w:bookmarkEnd w:id="149"/>
      <w:r/>
      <w:bookmarkEnd w:id="150"/>
      <w:r/>
      <w:bookmarkEnd w:id="151"/>
      <w:r/>
      <w:bookmarkEnd w:id="152"/>
      <w:r/>
      <w:bookmarkEnd w:id="153"/>
      <w:r/>
      <w:bookmarkEnd w:id="154"/>
      <w:r/>
      <w:bookmarkEnd w:id="155"/>
      <w:r/>
      <w:bookmarkEnd w:id="156"/>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ascii="宋体" w:hAnsi="宋体" w:cs="宋体"/>
          <w:b/>
          <w:sz w:val="28"/>
          <w:szCs w:val="28"/>
        </w:rPr>
      </w:pPr>
      <w:r>
        <w:rPr>
          <w:rFonts w:hint="eastAsia" w:ascii="宋体" w:hAnsi="宋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宋体" w:hAnsi="宋体" w:cs="宋体"/>
          <w:b/>
          <w:sz w:val="32"/>
          <w:szCs w:val="32"/>
        </w:rPr>
      </w:pPr>
      <w:r/>
      <w:bookmarkStart w:id="157" w:name="_Toc247085705"/>
      <w:r/>
      <w:bookmarkStart w:id="158" w:name="_Toc152045546"/>
      <w:r/>
      <w:bookmarkStart w:id="159" w:name="_Toc246996934"/>
      <w:r/>
      <w:bookmarkStart w:id="160" w:name="_Toc152042322"/>
      <w:r/>
      <w:bookmarkStart w:id="161" w:name="_Toc144974514"/>
      <w:r/>
      <w:bookmarkStart w:id="162" w:name="_Toc179632564"/>
      <w:r/>
      <w:bookmarkStart w:id="163" w:name="_Toc383438609"/>
      <w:r/>
      <w:bookmarkStart w:id="164" w:name="_Toc343525522"/>
      <w:r/>
      <w:bookmarkStart w:id="165" w:name="_Toc246996191"/>
      <w:r/>
      <w:bookmarkStart w:id="166" w:name="_Toc426469887"/>
      <w:r>
        <w:rPr>
          <w:rFonts w:hint="eastAsia" w:ascii="宋体" w:hAnsi="宋体" w:cs="宋体"/>
          <w:b/>
          <w:sz w:val="32"/>
          <w:szCs w:val="32"/>
        </w:rPr>
        <w:t xml:space="preserve">3. 投标</w:t>
      </w:r>
      <w:bookmarkEnd w:id="157"/>
      <w:r/>
      <w:bookmarkEnd w:id="158"/>
      <w:r/>
      <w:bookmarkEnd w:id="159"/>
      <w:r/>
      <w:bookmarkEnd w:id="160"/>
      <w:r/>
      <w:bookmarkEnd w:id="161"/>
      <w:r/>
      <w:bookmarkEnd w:id="162"/>
      <w:r/>
      <w:bookmarkEnd w:id="163"/>
      <w:r/>
      <w:bookmarkEnd w:id="164"/>
      <w:r/>
      <w:bookmarkEnd w:id="165"/>
      <w:r>
        <w:rPr>
          <w:rFonts w:hint="eastAsia" w:ascii="宋体" w:hAnsi="宋体" w:cs="宋体"/>
          <w:b/>
          <w:sz w:val="32"/>
          <w:szCs w:val="32"/>
        </w:rPr>
        <w:t xml:space="preserve">文件</w:t>
      </w:r>
      <w:bookmarkEnd w:id="166"/>
      <w:r/>
      <w:r/>
    </w:p>
    <w:p>
      <w:pPr>
        <w:spacing w:line="490" w:lineRule="exact"/>
        <w:rPr>
          <w:rFonts w:ascii="宋体" w:hAnsi="宋体" w:cs="宋体"/>
          <w:b/>
          <w:sz w:val="28"/>
          <w:szCs w:val="28"/>
        </w:rPr>
      </w:pPr>
      <w:r/>
      <w:bookmarkStart w:id="167" w:name="_Toc179632565"/>
      <w:r/>
      <w:bookmarkStart w:id="168" w:name="_Toc152042323"/>
      <w:r/>
      <w:bookmarkStart w:id="169" w:name="_Toc383438610"/>
      <w:r/>
      <w:bookmarkStart w:id="170" w:name="_Toc246996192"/>
      <w:r/>
      <w:bookmarkStart w:id="171" w:name="_Toc246996935"/>
      <w:r/>
      <w:bookmarkStart w:id="172" w:name="_Toc144974515"/>
      <w:r/>
      <w:bookmarkStart w:id="173" w:name="_Toc343525523"/>
      <w:r/>
      <w:bookmarkStart w:id="174" w:name="_Toc152045547"/>
      <w:r/>
      <w:bookmarkStart w:id="175" w:name="_Toc247085706"/>
      <w:r/>
      <w:bookmarkStart w:id="176" w:name="_Toc426469888"/>
      <w:r>
        <w:rPr>
          <w:rFonts w:hint="eastAsia" w:ascii="宋体" w:hAnsi="宋体" w:cs="宋体"/>
          <w:b/>
          <w:sz w:val="28"/>
          <w:szCs w:val="28"/>
        </w:rPr>
        <w:t xml:space="preserve">3.1</w:t>
      </w:r>
      <w:bookmarkEnd w:id="167"/>
      <w:r/>
      <w:bookmarkEnd w:id="168"/>
      <w:r/>
      <w:bookmarkEnd w:id="169"/>
      <w:r/>
      <w:bookmarkEnd w:id="170"/>
      <w:r/>
      <w:bookmarkEnd w:id="171"/>
      <w:r/>
      <w:bookmarkEnd w:id="172"/>
      <w:r/>
      <w:bookmarkEnd w:id="173"/>
      <w:r/>
      <w:bookmarkEnd w:id="174"/>
      <w:r/>
      <w:bookmarkEnd w:id="175"/>
      <w:r>
        <w:rPr>
          <w:rFonts w:hint="eastAsia" w:ascii="宋体" w:hAnsi="宋体" w:cs="宋体"/>
          <w:b/>
          <w:sz w:val="28"/>
          <w:szCs w:val="28"/>
        </w:rPr>
        <w:t xml:space="preserve">投标文件的组成</w:t>
      </w:r>
      <w:bookmarkEnd w:id="176"/>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宋体" w:hAnsi="宋体" w:cs="宋体"/>
          <w:b/>
          <w:sz w:val="28"/>
          <w:szCs w:val="28"/>
        </w:rPr>
      </w:pPr>
      <w:r/>
      <w:bookmarkStart w:id="177" w:name="_Toc367785004"/>
      <w:r/>
      <w:bookmarkStart w:id="178" w:name="_Toc426469889"/>
      <w:r>
        <w:rPr>
          <w:rFonts w:hint="eastAsia" w:ascii="宋体" w:hAnsi="宋体" w:cs="宋体"/>
          <w:b/>
          <w:sz w:val="28"/>
          <w:szCs w:val="28"/>
        </w:rPr>
        <w:t xml:space="preserve">3.2</w:t>
      </w:r>
      <w:bookmarkEnd w:id="177"/>
      <w:r>
        <w:rPr>
          <w:rFonts w:hint="eastAsia" w:ascii="宋体" w:hAnsi="宋体" w:cs="宋体"/>
          <w:b/>
          <w:sz w:val="28"/>
          <w:szCs w:val="28"/>
        </w:rPr>
        <w:t xml:space="preserve">投标报价</w:t>
      </w:r>
      <w:bookmarkEnd w:id="178"/>
      <w:r/>
      <w:r/>
    </w:p>
    <w:p>
      <w:pPr>
        <w:ind w:firstLine="560"/>
        <w:spacing w:line="490" w:lineRule="exact"/>
        <w:rPr>
          <w:rFonts w:ascii="宋体" w:hAnsi="宋体" w:cs="宋体"/>
          <w:sz w:val="28"/>
          <w:szCs w:val="28"/>
        </w:rPr>
      </w:pPr>
      <w:r>
        <w:rPr>
          <w:rFonts w:hint="eastAsia" w:ascii="宋体" w:hAnsi="宋体" w:cs="宋体"/>
          <w:sz w:val="28"/>
          <w:szCs w:val="28"/>
        </w:rPr>
        <w:t xml:space="preserve">3.2.1供应商应按招标文件规定的供货及服务要求、责任范围和合同条件，以人民币进行报价。</w:t>
      </w:r>
      <w:r/>
    </w:p>
    <w:p>
      <w:pPr>
        <w:ind w:firstLine="560"/>
        <w:spacing w:line="490" w:lineRule="exact"/>
        <w:rPr>
          <w:rFonts w:ascii="宋体" w:hAnsi="宋体" w:cs="宋体"/>
          <w:sz w:val="28"/>
          <w:szCs w:val="28"/>
        </w:rPr>
      </w:pPr>
      <w:r>
        <w:rPr>
          <w:rFonts w:hint="eastAsia" w:ascii="宋体" w:hAnsi="宋体" w:cs="宋体"/>
          <w:sz w:val="28"/>
          <w:szCs w:val="28"/>
        </w:rPr>
        <w:t xml:space="preserve">3.2.2供应商在投标文件中只能有一个投标报价，且不得超过招标公告中载明的最高限价。任何包含价格调整要求和条件的投标报价均将视为无效报价。</w:t>
      </w:r>
      <w:r/>
    </w:p>
    <w:p>
      <w:pPr>
        <w:spacing w:line="490" w:lineRule="exact"/>
        <w:rPr>
          <w:rFonts w:ascii="宋体" w:hAnsi="宋体" w:cs="宋体"/>
          <w:b/>
          <w:sz w:val="28"/>
          <w:szCs w:val="28"/>
        </w:rPr>
      </w:pPr>
      <w:r/>
      <w:bookmarkStart w:id="179" w:name="_Toc246996937"/>
      <w:r/>
      <w:bookmarkStart w:id="180" w:name="_Toc144974517"/>
      <w:r/>
      <w:bookmarkStart w:id="181" w:name="_Toc152042325"/>
      <w:r/>
      <w:bookmarkStart w:id="182" w:name="_Toc179632567"/>
      <w:r/>
      <w:bookmarkStart w:id="183" w:name="_Toc343525525"/>
      <w:r/>
      <w:bookmarkStart w:id="184" w:name="_Toc247085708"/>
      <w:r/>
      <w:bookmarkStart w:id="185" w:name="_Toc246996194"/>
      <w:r/>
      <w:bookmarkStart w:id="186" w:name="_Toc383438612"/>
      <w:r/>
      <w:bookmarkStart w:id="187" w:name="_Toc426469890"/>
      <w:r/>
      <w:bookmarkStart w:id="188" w:name="_Toc152045549"/>
      <w:r>
        <w:rPr>
          <w:rFonts w:hint="eastAsia" w:ascii="宋体" w:hAnsi="宋体" w:cs="宋体"/>
          <w:b/>
          <w:sz w:val="28"/>
          <w:szCs w:val="28"/>
        </w:rPr>
        <w:t xml:space="preserve">3.3投标有效期</w:t>
      </w:r>
      <w:bookmarkEnd w:id="179"/>
      <w:r/>
      <w:bookmarkEnd w:id="180"/>
      <w:r/>
      <w:bookmarkEnd w:id="181"/>
      <w:r/>
      <w:bookmarkEnd w:id="182"/>
      <w:r/>
      <w:bookmarkEnd w:id="183"/>
      <w:r/>
      <w:bookmarkEnd w:id="184"/>
      <w:r/>
      <w:bookmarkEnd w:id="185"/>
      <w:r/>
      <w:bookmarkEnd w:id="186"/>
      <w:r/>
      <w:bookmarkEnd w:id="187"/>
      <w:r/>
      <w:bookmarkEnd w:id="188"/>
      <w:r/>
      <w:r/>
    </w:p>
    <w:p>
      <w:pPr>
        <w:ind w:firstLine="560"/>
        <w:spacing w:line="490" w:lineRule="exact"/>
        <w:rPr>
          <w:rFonts w:ascii="宋体" w:hAnsi="宋体" w:cs="宋体"/>
          <w:sz w:val="28"/>
          <w:szCs w:val="28"/>
        </w:rPr>
      </w:pPr>
      <w:r>
        <w:rPr>
          <w:rFonts w:hint="eastAsia" w:ascii="宋体" w:hAnsi="宋体" w:cs="宋体"/>
          <w:sz w:val="28"/>
          <w:szCs w:val="28"/>
        </w:rPr>
        <w:t xml:space="preserve">3.3.1在供应商须知前附表规定的投标有效期内，供应商不得要求撤销或修改其投标文件。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3.3.2出现特殊情况需要延长投标有效期的，招标人将以书面形式通知供应商。供应商拒绝延长投标有效期的，其投标失效。</w:t>
      </w:r>
      <w:r/>
    </w:p>
    <w:p>
      <w:pPr>
        <w:spacing w:line="490" w:lineRule="exact"/>
        <w:rPr>
          <w:rFonts w:ascii="宋体" w:hAnsi="宋体" w:cs="宋体"/>
          <w:b/>
          <w:sz w:val="28"/>
          <w:szCs w:val="28"/>
        </w:rPr>
      </w:pPr>
      <w:r/>
      <w:bookmarkStart w:id="189" w:name="_Toc426469892"/>
      <w:r>
        <w:rPr>
          <w:rFonts w:hint="eastAsia" w:ascii="宋体" w:hAnsi="宋体" w:cs="宋体"/>
          <w:b/>
          <w:sz w:val="28"/>
          <w:szCs w:val="28"/>
        </w:rPr>
        <w:t xml:space="preserve">3.4投标文件的编制</w:t>
      </w:r>
      <w:bookmarkEnd w:id="189"/>
      <w:r/>
      <w:r/>
    </w:p>
    <w:p>
      <w:pPr>
        <w:ind w:firstLine="560"/>
        <w:spacing w:line="490" w:lineRule="exact"/>
        <w:rPr>
          <w:rFonts w:ascii="宋体" w:hAnsi="宋体" w:cs="宋体"/>
          <w:sz w:val="28"/>
          <w:szCs w:val="28"/>
        </w:rPr>
      </w:pPr>
      <w:r>
        <w:rPr>
          <w:rFonts w:hint="eastAsia" w:ascii="宋体" w:hAnsi="宋体" w:cs="宋体"/>
          <w:sz w:val="28"/>
          <w:szCs w:val="28"/>
        </w:rPr>
        <w:t xml:space="preserve">3.4.1供应商可以按照第六章“投标文件的编制要求及参考格式”要求编制投标文件。需另行增加的相关内容和材料应编入投标文件相应章节，作为投标文件的组成部分。</w:t>
      </w:r>
      <w:r/>
    </w:p>
    <w:p>
      <w:pPr>
        <w:ind w:firstLine="560"/>
        <w:spacing w:line="490" w:lineRule="exact"/>
        <w:rPr>
          <w:rFonts w:ascii="宋体" w:hAnsi="宋体" w:cs="宋体"/>
          <w:sz w:val="28"/>
          <w:szCs w:val="28"/>
        </w:rPr>
      </w:pPr>
      <w:r>
        <w:rPr>
          <w:rFonts w:hint="eastAsia" w:ascii="宋体" w:hAnsi="宋体" w:cs="宋体"/>
          <w:sz w:val="28"/>
          <w:szCs w:val="28"/>
        </w:rPr>
        <w:t xml:space="preserve">3.4.2供应商应对招标文件中的资格要求、合同履行期限、投标有效期、技术、服务标准和要求等实质性内容作出响应，并根据评审因素提供相应的证明材料。</w:t>
      </w:r>
      <w:r/>
    </w:p>
    <w:p>
      <w:pPr>
        <w:ind w:firstLine="560"/>
        <w:spacing w:line="490" w:lineRule="exact"/>
        <w:rPr>
          <w:rFonts w:ascii="宋体" w:hAnsi="宋体" w:cs="宋体"/>
          <w:sz w:val="28"/>
          <w:szCs w:val="28"/>
        </w:rPr>
      </w:pPr>
      <w:r>
        <w:rPr>
          <w:rFonts w:hint="eastAsia" w:ascii="宋体" w:hAnsi="宋体" w:cs="宋体"/>
          <w:sz w:val="28"/>
          <w:szCs w:val="28"/>
        </w:rPr>
        <w:t xml:space="preserve">3.4.3 投标文件的数量：见供应商须知前附表</w:t>
      </w:r>
      <w:r/>
    </w:p>
    <w:p>
      <w:pPr>
        <w:ind w:firstLine="560"/>
        <w:spacing w:line="490" w:lineRule="exact"/>
        <w:rPr>
          <w:rFonts w:ascii="宋体" w:hAnsi="宋体" w:cs="宋体"/>
          <w:sz w:val="28"/>
          <w:szCs w:val="28"/>
        </w:rPr>
      </w:pPr>
      <w:r/>
      <w:bookmarkStart w:id="190" w:name="_Toc426469894"/>
      <w:r/>
      <w:bookmarkStart w:id="191" w:name="_Toc367785016"/>
      <w:r>
        <w:rPr>
          <w:rFonts w:hint="eastAsia" w:ascii="宋体" w:hAnsi="宋体" w:cs="宋体"/>
          <w:sz w:val="28"/>
          <w:szCs w:val="28"/>
        </w:rPr>
        <w:t xml:space="preserve">3.4.4投标文件的签署：见供应商须知前附表</w:t>
      </w:r>
      <w:bookmarkEnd w:id="62"/>
      <w:r/>
      <w:bookmarkEnd w:id="190"/>
      <w:r/>
      <w:bookmarkEnd w:id="191"/>
      <w:r/>
      <w:r/>
    </w:p>
    <w:p>
      <w:pPr>
        <w:spacing w:line="490" w:lineRule="exact"/>
        <w:rPr>
          <w:rFonts w:ascii="宋体" w:hAnsi="宋体" w:cs="宋体"/>
          <w:sz w:val="32"/>
          <w:szCs w:val="32"/>
        </w:rPr>
      </w:pPr>
      <w:r/>
      <w:bookmarkStart w:id="192" w:name="_Toc179632605"/>
      <w:r/>
      <w:bookmarkStart w:id="193" w:name="_Toc383679747"/>
      <w:r/>
      <w:bookmarkStart w:id="194" w:name="_Toc390099019"/>
      <w:r/>
      <w:bookmarkStart w:id="195" w:name="_Toc246996230"/>
      <w:r/>
      <w:bookmarkStart w:id="196" w:name="_Toc246996973"/>
      <w:r/>
      <w:bookmarkStart w:id="197" w:name="_Toc152045587"/>
      <w:r/>
      <w:bookmarkStart w:id="198" w:name="_Toc152042364"/>
      <w:r/>
      <w:bookmarkStart w:id="199" w:name="_Toc343525562"/>
      <w:r/>
      <w:bookmarkStart w:id="200" w:name="_Toc247085745"/>
      <w:r/>
      <w:bookmarkStart w:id="201" w:name="_Toc390246906"/>
      <w:r/>
      <w:bookmarkStart w:id="202" w:name="_Toc383623945"/>
      <w:r/>
      <w:bookmarkStart w:id="203" w:name="_Toc383623673"/>
      <w:r/>
      <w:bookmarkStart w:id="204" w:name="_Toc383587457"/>
      <w:r/>
      <w:bookmarkStart w:id="205" w:name="_Toc383698648"/>
      <w:r/>
      <w:bookmarkStart w:id="206" w:name="_Toc144974554"/>
      <w:r/>
      <w:bookmarkStart w:id="207" w:name="_Toc390098841"/>
      <w:r/>
      <w:bookmarkStart w:id="208" w:name="_Toc383438646"/>
      <w:r/>
      <w:bookmarkStart w:id="209" w:name="_Toc383625994"/>
      <w:r>
        <w:rPr>
          <w:rFonts w:hint="eastAsia" w:ascii="宋体" w:hAnsi="宋体" w:cs="宋体"/>
          <w:sz w:val="32"/>
          <w:szCs w:val="32"/>
        </w:rPr>
        <w:t xml:space="preserve">4.投标</w:t>
      </w:r>
      <w:r/>
    </w:p>
    <w:p>
      <w:pPr>
        <w:spacing w:line="490" w:lineRule="exact"/>
        <w:rPr>
          <w:rFonts w:ascii="宋体" w:hAnsi="宋体" w:cs="宋体"/>
          <w:b/>
          <w:bCs/>
          <w:sz w:val="28"/>
          <w:szCs w:val="28"/>
        </w:rPr>
      </w:pPr>
      <w:r>
        <w:rPr>
          <w:rFonts w:hint="eastAsia" w:ascii="宋体" w:hAnsi="宋体" w:cs="宋体"/>
          <w:b/>
          <w:sz w:val="28"/>
          <w:szCs w:val="28"/>
        </w:rPr>
        <w:t xml:space="preserve">4.1</w:t>
      </w:r>
      <w:r>
        <w:rPr>
          <w:rFonts w:hint="eastAsia" w:ascii="宋体" w:hAnsi="宋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宋体" w:hAnsi="宋体" w:cs="宋体"/>
          <w:b/>
          <w:sz w:val="28"/>
          <w:szCs w:val="28"/>
        </w:rPr>
      </w:pPr>
      <w:r>
        <w:rPr>
          <w:rFonts w:hint="eastAsia" w:ascii="宋体" w:hAnsi="宋体" w:cs="宋体"/>
          <w:b/>
          <w:sz w:val="28"/>
          <w:szCs w:val="28"/>
        </w:rPr>
        <w:t xml:space="preserve">4.2投标文件的修改与撤回</w:t>
      </w:r>
      <w:r/>
    </w:p>
    <w:p>
      <w:pPr>
        <w:ind w:firstLine="560"/>
        <w:spacing w:line="490" w:lineRule="exact"/>
        <w:rPr>
          <w:rFonts w:ascii="宋体" w:hAnsi="宋体" w:cs="宋体"/>
          <w:sz w:val="28"/>
          <w:szCs w:val="28"/>
        </w:rPr>
      </w:pPr>
      <w:r>
        <w:rPr>
          <w:rFonts w:hint="eastAsia" w:ascii="宋体" w:hAnsi="宋体" w:cs="宋体"/>
          <w:sz w:val="28"/>
          <w:szCs w:val="28"/>
        </w:rPr>
        <w:t xml:space="preserve">4.2.1在投标截止时间前，供应商可以修改或撤回已递交的投标文件。具体操作方法见《江苏省政府采购管理交易系统（苏采云）供应商操作手册》。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hint="eastAsia" w:ascii="宋体" w:hAnsi="宋体" w:cs="宋体"/>
          <w:sz w:val="28"/>
          <w:szCs w:val="28"/>
        </w:rPr>
        <w:t xml:space="preserve">4.2.2修改的投标文件应按照本招标文件规定进行编制和重新上传。</w:t>
      </w:r>
      <w:r/>
    </w:p>
    <w:p>
      <w:pPr>
        <w:spacing w:line="490" w:lineRule="exact"/>
        <w:rPr>
          <w:rFonts w:ascii="宋体" w:hAnsi="宋体" w:cs="宋体"/>
          <w:b/>
          <w:sz w:val="28"/>
          <w:szCs w:val="28"/>
        </w:rPr>
      </w:pPr>
      <w:r>
        <w:rPr>
          <w:rFonts w:hint="eastAsia" w:ascii="宋体" w:hAnsi="宋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宋体" w:hAnsi="宋体" w:cs="宋体"/>
          <w:sz w:val="32"/>
          <w:szCs w:val="32"/>
        </w:rPr>
      </w:pPr>
      <w:r>
        <w:rPr>
          <w:rFonts w:hint="eastAsia" w:ascii="宋体" w:hAnsi="宋体" w:cs="宋体"/>
          <w:sz w:val="32"/>
          <w:szCs w:val="32"/>
        </w:rPr>
        <w:t xml:space="preserve">5. 开标</w:t>
      </w:r>
      <w:r/>
    </w:p>
    <w:p>
      <w:pPr>
        <w:spacing w:line="490" w:lineRule="exact"/>
        <w:rPr>
          <w:rFonts w:ascii="宋体" w:hAnsi="宋体" w:cs="宋体"/>
          <w:b/>
          <w:sz w:val="28"/>
          <w:szCs w:val="28"/>
        </w:rPr>
      </w:pPr>
      <w:r>
        <w:rPr>
          <w:rFonts w:hint="eastAsia" w:ascii="宋体" w:hAnsi="宋体" w:cs="宋体"/>
          <w:b/>
          <w:sz w:val="28"/>
          <w:szCs w:val="28"/>
        </w:rPr>
        <w:t xml:space="preserve">5.1 开标时间和地点</w:t>
      </w:r>
      <w:r/>
    </w:p>
    <w:p>
      <w:pPr>
        <w:ind w:firstLine="560"/>
        <w:spacing w:line="490" w:lineRule="exact"/>
        <w:rPr>
          <w:rFonts w:ascii="宋体" w:hAnsi="宋体" w:cs="宋体"/>
          <w:sz w:val="28"/>
          <w:szCs w:val="28"/>
        </w:rPr>
      </w:pPr>
      <w:r>
        <w:rPr>
          <w:rFonts w:hint="eastAsia" w:ascii="宋体" w:hAnsi="宋体" w:cs="宋体"/>
          <w:sz w:val="28"/>
          <w:szCs w:val="28"/>
        </w:rPr>
        <w:t xml:space="preserve">5.1.1开标时间和地点：见供应商须知前附表。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ascii="宋体" w:hAnsi="宋体" w:cs="宋体"/>
          <w:b/>
          <w:sz w:val="28"/>
          <w:szCs w:val="28"/>
        </w:rPr>
      </w:pPr>
      <w:r>
        <w:rPr>
          <w:rFonts w:hint="eastAsia" w:ascii="宋体" w:hAnsi="宋体" w:cs="宋体"/>
          <w:b/>
          <w:sz w:val="28"/>
          <w:szCs w:val="28"/>
        </w:rPr>
        <w:t xml:space="preserve">5.2 不见面开标程序</w:t>
      </w:r>
      <w:r/>
    </w:p>
    <w:p>
      <w:pPr>
        <w:ind w:firstLine="560"/>
        <w:spacing w:line="490" w:lineRule="exact"/>
        <w:rPr>
          <w:rFonts w:ascii="宋体" w:hAnsi="宋体" w:cs="宋体"/>
          <w:sz w:val="28"/>
          <w:szCs w:val="28"/>
        </w:rPr>
      </w:pPr>
      <w:r>
        <w:rPr>
          <w:rFonts w:hint="eastAsia" w:ascii="宋体" w:hAnsi="宋体" w:cs="宋体"/>
          <w:sz w:val="28"/>
          <w:szCs w:val="28"/>
        </w:rPr>
        <w:t xml:space="preserve">（1）系统登录。供应商应在投标截止时间前登录开标大厅。</w:t>
      </w:r>
      <w:r/>
    </w:p>
    <w:p>
      <w:pPr>
        <w:ind w:firstLine="560"/>
        <w:spacing w:line="490" w:lineRule="exact"/>
        <w:rPr>
          <w:rFonts w:ascii="宋体" w:hAnsi="宋体" w:cs="宋体"/>
          <w:sz w:val="28"/>
          <w:szCs w:val="28"/>
        </w:rPr>
      </w:pPr>
      <w:r>
        <w:rPr>
          <w:rFonts w:hint="eastAsia" w:ascii="宋体" w:hAnsi="宋体" w:cs="宋体"/>
          <w:sz w:val="28"/>
          <w:szCs w:val="28"/>
        </w:rPr>
        <w:t xml:space="preserve">（2）供应商解密投标文件。按照系统内提示，在规定的时间内完成投标文件的解密。</w:t>
      </w:r>
      <w:r/>
    </w:p>
    <w:p>
      <w:pPr>
        <w:ind w:firstLine="560"/>
        <w:spacing w:line="490" w:lineRule="exact"/>
        <w:rPr>
          <w:rFonts w:ascii="宋体" w:hAnsi="宋体" w:cs="宋体"/>
          <w:sz w:val="28"/>
          <w:szCs w:val="28"/>
        </w:rPr>
      </w:pPr>
      <w:r>
        <w:rPr>
          <w:rFonts w:hint="eastAsia" w:ascii="宋体" w:hAnsi="宋体" w:cs="宋体"/>
          <w:sz w:val="28"/>
          <w:szCs w:val="28"/>
        </w:rPr>
        <w:t xml:space="preserve">（3）唱标。</w:t>
      </w:r>
      <w:r/>
    </w:p>
    <w:p>
      <w:pPr>
        <w:ind w:firstLine="560"/>
        <w:spacing w:line="490" w:lineRule="exact"/>
        <w:rPr>
          <w:rFonts w:ascii="宋体" w:hAnsi="宋体" w:cs="宋体"/>
          <w:sz w:val="28"/>
          <w:szCs w:val="28"/>
        </w:rPr>
      </w:pPr>
      <w:r>
        <w:rPr>
          <w:rFonts w:hint="eastAsia" w:ascii="宋体" w:hAnsi="宋体" w:cs="宋体"/>
          <w:sz w:val="28"/>
          <w:szCs w:val="28"/>
        </w:rPr>
        <w:t xml:space="preserve">（4）开标记录确认。</w:t>
      </w:r>
      <w:r/>
    </w:p>
    <w:p>
      <w:pPr>
        <w:ind w:firstLine="560"/>
        <w:spacing w:line="490" w:lineRule="exact"/>
        <w:rPr>
          <w:rFonts w:ascii="宋体" w:hAnsi="宋体" w:cs="宋体"/>
          <w:sz w:val="28"/>
          <w:szCs w:val="28"/>
        </w:rPr>
      </w:pPr>
      <w:r>
        <w:rPr>
          <w:rFonts w:hint="eastAsia" w:ascii="宋体" w:hAnsi="宋体" w:cs="宋体"/>
          <w:sz w:val="28"/>
          <w:szCs w:val="28"/>
        </w:rPr>
        <w:t xml:space="preserve">（5）开标结束。</w:t>
      </w:r>
      <w:r/>
    </w:p>
    <w:p>
      <w:pPr>
        <w:spacing w:line="490" w:lineRule="exact"/>
        <w:rPr>
          <w:rFonts w:ascii="宋体" w:hAnsi="宋体" w:cs="宋体"/>
          <w:b/>
          <w:sz w:val="28"/>
          <w:szCs w:val="28"/>
        </w:rPr>
      </w:pPr>
      <w:r>
        <w:rPr>
          <w:rFonts w:hint="eastAsia" w:ascii="宋体" w:hAnsi="宋体" w:cs="宋体"/>
          <w:b/>
          <w:sz w:val="28"/>
          <w:szCs w:val="28"/>
        </w:rPr>
        <w:t xml:space="preserve">5.3特殊情况的处置</w:t>
      </w:r>
      <w:r/>
    </w:p>
    <w:p>
      <w:pPr>
        <w:ind w:firstLine="560"/>
        <w:spacing w:line="490" w:lineRule="exact"/>
        <w:rPr>
          <w:rFonts w:ascii="宋体" w:hAnsi="宋体" w:cs="宋体"/>
          <w:sz w:val="28"/>
          <w:szCs w:val="28"/>
        </w:rPr>
      </w:pPr>
      <w:r>
        <w:rPr>
          <w:rFonts w:hint="eastAsia" w:ascii="宋体" w:hAnsi="宋体"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宋体" w:hAnsi="宋体" w:cs="宋体"/>
          <w:sz w:val="28"/>
          <w:szCs w:val="28"/>
        </w:rPr>
      </w:pPr>
      <w:r>
        <w:rPr>
          <w:rFonts w:hint="eastAsia" w:ascii="宋体" w:hAnsi="宋体" w:cs="宋体"/>
          <w:sz w:val="28"/>
          <w:szCs w:val="28"/>
        </w:rPr>
        <w:t xml:space="preserve">（1）系统服务器发生故障，无法访问或无法使用系统； </w:t>
      </w:r>
      <w:r/>
    </w:p>
    <w:p>
      <w:pPr>
        <w:ind w:firstLine="560"/>
        <w:spacing w:line="490" w:lineRule="exact"/>
        <w:rPr>
          <w:rFonts w:ascii="宋体" w:hAnsi="宋体" w:cs="宋体"/>
          <w:sz w:val="28"/>
          <w:szCs w:val="28"/>
        </w:rPr>
      </w:pPr>
      <w:r>
        <w:rPr>
          <w:rFonts w:hint="eastAsia" w:ascii="宋体" w:hAnsi="宋体" w:cs="宋体"/>
          <w:sz w:val="28"/>
          <w:szCs w:val="28"/>
        </w:rPr>
        <w:t xml:space="preserve">（2）系统的软件或数据库出现错误，不能进行正常操作； </w:t>
      </w:r>
      <w:r/>
    </w:p>
    <w:p>
      <w:pPr>
        <w:ind w:firstLine="560"/>
        <w:spacing w:line="490" w:lineRule="exact"/>
        <w:rPr>
          <w:rFonts w:ascii="宋体" w:hAnsi="宋体" w:cs="宋体"/>
          <w:sz w:val="28"/>
          <w:szCs w:val="28"/>
        </w:rPr>
      </w:pPr>
      <w:r>
        <w:rPr>
          <w:rFonts w:hint="eastAsia" w:ascii="宋体" w:hAnsi="宋体" w:cs="宋体"/>
          <w:sz w:val="28"/>
          <w:szCs w:val="28"/>
        </w:rPr>
        <w:t xml:space="preserve">（3）系统发现有安全漏洞，有潜在的泄密危险； </w:t>
      </w:r>
      <w:r/>
    </w:p>
    <w:p>
      <w:pPr>
        <w:ind w:firstLine="560"/>
        <w:spacing w:line="490" w:lineRule="exact"/>
        <w:rPr>
          <w:rFonts w:ascii="宋体" w:hAnsi="宋体" w:cs="宋体"/>
          <w:sz w:val="28"/>
          <w:szCs w:val="28"/>
        </w:rPr>
      </w:pPr>
      <w:r>
        <w:rPr>
          <w:rFonts w:hint="eastAsia" w:ascii="宋体" w:hAnsi="宋体" w:cs="宋体"/>
          <w:sz w:val="28"/>
          <w:szCs w:val="28"/>
        </w:rPr>
        <w:t xml:space="preserve">（4）其他无法保证招投标过程公平和信息安全的情形。</w:t>
      </w:r>
      <w:r/>
    </w:p>
    <w:p>
      <w:pPr>
        <w:ind w:firstLine="560"/>
        <w:spacing w:line="490" w:lineRule="exact"/>
        <w:rPr>
          <w:rFonts w:ascii="宋体" w:hAnsi="宋体" w:cs="宋体"/>
          <w:sz w:val="28"/>
          <w:szCs w:val="28"/>
        </w:rPr>
      </w:pPr>
      <w:r>
        <w:rPr>
          <w:rFonts w:hint="eastAsia" w:ascii="宋体" w:hAnsi="宋体" w:cs="宋体"/>
          <w:sz w:val="28"/>
          <w:szCs w:val="28"/>
        </w:rPr>
        <w:t xml:space="preserve">5.3.2因供应商自身原因造成投标文件无法解密的，视为撤销投标文件。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5.3.3供应商对开标过程和开标记录有疑义的，可向招标人或者采购代理机构提出。</w:t>
      </w:r>
      <w:r/>
    </w:p>
    <w:p>
      <w:pPr>
        <w:ind w:firstLine="560"/>
        <w:spacing w:line="490" w:lineRule="exact"/>
        <w:rPr>
          <w:rFonts w:ascii="宋体" w:hAnsi="宋体" w:cs="宋体"/>
          <w:sz w:val="28"/>
          <w:szCs w:val="28"/>
        </w:rPr>
      </w:pPr>
      <w:r>
        <w:rPr>
          <w:rFonts w:hint="eastAsia" w:ascii="宋体" w:hAnsi="宋体" w:cs="宋体"/>
          <w:sz w:val="28"/>
          <w:szCs w:val="28"/>
        </w:rPr>
        <w:t xml:space="preserve">5.3.4供应商未在开标系统中确认开标结果的，视同认可开标结果。</w:t>
      </w:r>
      <w:r/>
    </w:p>
    <w:p>
      <w:pPr>
        <w:spacing w:line="490" w:lineRule="exact"/>
        <w:rPr>
          <w:rFonts w:ascii="宋体" w:hAnsi="宋体" w:cs="宋体"/>
          <w:sz w:val="32"/>
          <w:szCs w:val="32"/>
        </w:rPr>
      </w:pPr>
      <w:r>
        <w:rPr>
          <w:rFonts w:hint="eastAsia" w:ascii="宋体" w:hAnsi="宋体" w:cs="宋体"/>
          <w:sz w:val="32"/>
          <w:szCs w:val="32"/>
        </w:rPr>
        <w:t xml:space="preserve">6. 评标</w:t>
      </w:r>
      <w:r/>
    </w:p>
    <w:p>
      <w:pPr>
        <w:spacing w:line="490" w:lineRule="exact"/>
        <w:rPr>
          <w:rFonts w:ascii="宋体" w:hAnsi="宋体" w:cs="宋体"/>
          <w:b/>
          <w:sz w:val="28"/>
          <w:szCs w:val="28"/>
        </w:rPr>
      </w:pPr>
      <w:r>
        <w:rPr>
          <w:rFonts w:hint="eastAsia" w:ascii="宋体" w:hAnsi="宋体" w:cs="宋体"/>
          <w:b/>
          <w:sz w:val="28"/>
          <w:szCs w:val="28"/>
        </w:rPr>
        <w:t xml:space="preserve">6.1 评标委员会</w:t>
      </w:r>
      <w:r/>
    </w:p>
    <w:p>
      <w:pPr>
        <w:ind w:firstLine="560"/>
        <w:spacing w:line="490" w:lineRule="exact"/>
        <w:rPr>
          <w:rFonts w:ascii="宋体" w:hAnsi="宋体" w:cs="宋体"/>
          <w:sz w:val="28"/>
          <w:szCs w:val="28"/>
        </w:rPr>
      </w:pPr>
      <w:r>
        <w:rPr>
          <w:rFonts w:hint="eastAsia" w:ascii="宋体" w:hAnsi="宋体" w:cs="宋体"/>
          <w:sz w:val="28"/>
          <w:szCs w:val="28"/>
        </w:rPr>
        <w:t xml:space="preserve">6.1.1评标由招标人依法组建的评标委员会负责。评标委员会由招标人代表，以及有关技术、经济等方面的专家组成。具体人数见供应商须知前附表。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6.1.2评标委员会成员有下列情形之一的，应当回避：</w:t>
      </w:r>
      <w:r/>
    </w:p>
    <w:p>
      <w:pPr>
        <w:ind w:firstLine="560"/>
        <w:spacing w:line="490" w:lineRule="exact"/>
        <w:rPr>
          <w:rFonts w:ascii="宋体" w:hAnsi="宋体" w:cs="宋体"/>
          <w:sz w:val="28"/>
          <w:szCs w:val="28"/>
        </w:rPr>
      </w:pPr>
      <w:r>
        <w:rPr>
          <w:rFonts w:hint="eastAsia" w:ascii="宋体" w:hAnsi="宋体" w:cs="宋体"/>
          <w:sz w:val="28"/>
          <w:szCs w:val="28"/>
        </w:rPr>
        <w:t xml:space="preserve">（1）参加采购活动前三年内,与供应商存在劳动关系,或者担任过供应商的董事、监事,或者是供应商的控股股东或实际控制人；</w:t>
      </w:r>
      <w:r/>
    </w:p>
    <w:p>
      <w:pPr>
        <w:ind w:firstLine="560"/>
        <w:spacing w:line="490" w:lineRule="exact"/>
        <w:rPr>
          <w:rFonts w:ascii="宋体" w:hAnsi="宋体" w:cs="宋体"/>
          <w:sz w:val="28"/>
          <w:szCs w:val="28"/>
        </w:rPr>
      </w:pPr>
      <w:r>
        <w:rPr>
          <w:rFonts w:hint="eastAsia" w:ascii="宋体" w:hAnsi="宋体" w:cs="宋体"/>
          <w:sz w:val="28"/>
          <w:szCs w:val="28"/>
        </w:rPr>
        <w:t xml:space="preserve">（2）与供应商的法定代表人或者负责人有夫妻、直系血亲、三代以内旁系血亲或者近姻亲关系；</w:t>
      </w:r>
      <w:r/>
    </w:p>
    <w:p>
      <w:pPr>
        <w:ind w:firstLine="560"/>
        <w:spacing w:line="490" w:lineRule="exact"/>
        <w:rPr>
          <w:rFonts w:ascii="宋体" w:hAnsi="宋体" w:cs="宋体"/>
          <w:sz w:val="28"/>
          <w:szCs w:val="28"/>
        </w:rPr>
      </w:pPr>
      <w:r>
        <w:rPr>
          <w:rFonts w:hint="eastAsia" w:ascii="宋体" w:hAnsi="宋体" w:cs="宋体"/>
          <w:sz w:val="28"/>
          <w:szCs w:val="28"/>
        </w:rPr>
        <w:t xml:space="preserve">（3）与供应商有其他可能影响政府采购活动公平、公正进行的关系；</w:t>
      </w:r>
      <w:r/>
    </w:p>
    <w:p>
      <w:pPr>
        <w:ind w:firstLine="560"/>
        <w:spacing w:line="490" w:lineRule="exact"/>
        <w:rPr>
          <w:rFonts w:ascii="宋体" w:hAnsi="宋体" w:cs="宋体"/>
          <w:sz w:val="28"/>
          <w:szCs w:val="28"/>
        </w:rPr>
      </w:pPr>
      <w:r>
        <w:rPr>
          <w:rFonts w:hint="eastAsia" w:ascii="宋体" w:hAnsi="宋体" w:cs="宋体"/>
          <w:sz w:val="28"/>
          <w:szCs w:val="28"/>
        </w:rPr>
        <w:t xml:space="preserve">（4）法律、行政法规规定的其他条件。</w:t>
      </w:r>
      <w:r/>
    </w:p>
    <w:p>
      <w:pPr>
        <w:spacing w:line="490" w:lineRule="exact"/>
        <w:rPr>
          <w:rFonts w:ascii="宋体" w:hAnsi="宋体" w:cs="宋体"/>
          <w:b/>
          <w:sz w:val="28"/>
          <w:szCs w:val="28"/>
        </w:rPr>
      </w:pPr>
      <w:r>
        <w:rPr>
          <w:rFonts w:hint="eastAsia" w:ascii="宋体" w:hAnsi="宋体" w:cs="宋体"/>
          <w:b/>
          <w:sz w:val="28"/>
          <w:szCs w:val="28"/>
        </w:rPr>
        <w:t xml:space="preserve">6.2 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评标委员会严格按照第三章“评标办法”规定的评标方法、评标程序和评标标准进行独立评审。第三章“评标办法”没有规定的评标标准，不得作为评标依据。</w:t>
      </w:r>
      <w:r/>
    </w:p>
    <w:p>
      <w:pPr>
        <w:spacing w:line="490" w:lineRule="exact"/>
        <w:rPr>
          <w:rFonts w:ascii="宋体" w:hAnsi="宋体" w:cs="宋体"/>
          <w:sz w:val="32"/>
          <w:szCs w:val="32"/>
        </w:rPr>
      </w:pPr>
      <w:r>
        <w:rPr>
          <w:rFonts w:hint="eastAsia" w:ascii="宋体" w:hAnsi="宋体" w:cs="宋体"/>
          <w:sz w:val="32"/>
          <w:szCs w:val="32"/>
        </w:rPr>
        <w:t xml:space="preserve">7.中标</w:t>
      </w:r>
      <w:r/>
    </w:p>
    <w:p>
      <w:pPr>
        <w:spacing w:line="490" w:lineRule="exact"/>
        <w:rPr>
          <w:rFonts w:ascii="宋体" w:hAnsi="宋体" w:cs="宋体"/>
          <w:b/>
          <w:sz w:val="28"/>
          <w:szCs w:val="28"/>
        </w:rPr>
      </w:pPr>
      <w:r>
        <w:rPr>
          <w:rFonts w:hint="eastAsia" w:ascii="宋体" w:hAnsi="宋体" w:cs="宋体"/>
          <w:b/>
          <w:sz w:val="28"/>
          <w:szCs w:val="28"/>
        </w:rPr>
        <w:t xml:space="preserve">7.1确定中标人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hAnsi="宋体" w:cs="宋体"/>
          <w:sz w:val="28"/>
          <w:szCs w:val="28"/>
        </w:rPr>
      </w:pPr>
      <w:r>
        <w:rPr>
          <w:rFonts w:hint="eastAsia" w:ascii="宋体" w:hAnsi="宋体" w:cs="宋体"/>
          <w:sz w:val="28"/>
          <w:szCs w:val="28"/>
        </w:rPr>
        <w:t xml:space="preserve">（1）因不可抗力或者自身原因不能履行合同的；</w:t>
      </w:r>
      <w:r/>
    </w:p>
    <w:p>
      <w:pPr>
        <w:ind w:firstLine="560"/>
        <w:spacing w:line="490" w:lineRule="exact"/>
        <w:rPr>
          <w:rFonts w:ascii="宋体" w:hAnsi="宋体" w:cs="宋体"/>
          <w:sz w:val="28"/>
          <w:szCs w:val="28"/>
        </w:rPr>
      </w:pPr>
      <w:r>
        <w:rPr>
          <w:rFonts w:hint="eastAsia" w:ascii="宋体" w:hAnsi="宋体" w:cs="宋体"/>
          <w:sz w:val="28"/>
          <w:szCs w:val="28"/>
        </w:rPr>
        <w:t xml:space="preserve">（2）经过财政部门处理投诉举报、监督检查，认定中标无效的；</w:t>
      </w:r>
      <w:r/>
    </w:p>
    <w:p>
      <w:pPr>
        <w:ind w:firstLine="560"/>
        <w:spacing w:line="490" w:lineRule="exact"/>
        <w:rPr>
          <w:rFonts w:ascii="宋体" w:hAnsi="宋体" w:cs="宋体"/>
          <w:sz w:val="28"/>
          <w:szCs w:val="28"/>
        </w:rPr>
      </w:pPr>
      <w:r>
        <w:rPr>
          <w:rFonts w:hint="eastAsia" w:ascii="宋体" w:hAnsi="宋体" w:cs="宋体"/>
          <w:sz w:val="28"/>
          <w:szCs w:val="28"/>
        </w:rPr>
        <w:t xml:space="preserve">（3）拒绝与招标人签订合同的。</w:t>
      </w:r>
      <w:r/>
    </w:p>
    <w:p>
      <w:pPr>
        <w:spacing w:line="490" w:lineRule="exact"/>
        <w:rPr>
          <w:rFonts w:ascii="宋体" w:hAnsi="宋体" w:cs="宋体"/>
          <w:b/>
          <w:sz w:val="28"/>
          <w:szCs w:val="28"/>
        </w:rPr>
      </w:pPr>
      <w:r>
        <w:rPr>
          <w:rFonts w:hint="eastAsia" w:ascii="宋体" w:hAnsi="宋体" w:cs="宋体"/>
          <w:b/>
          <w:sz w:val="28"/>
          <w:szCs w:val="28"/>
        </w:rPr>
        <w:t xml:space="preserve">7.2中标公告及中标通知书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cs="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  </w:t>
      </w:r>
      <w:r/>
    </w:p>
    <w:p>
      <w:pPr>
        <w:spacing w:line="490" w:lineRule="exact"/>
        <w:rPr>
          <w:rFonts w:ascii="宋体" w:hAnsi="宋体" w:cs="宋体"/>
          <w:sz w:val="32"/>
          <w:szCs w:val="32"/>
        </w:rPr>
      </w:pPr>
      <w:r>
        <w:rPr>
          <w:rFonts w:hint="eastAsia" w:ascii="宋体" w:hAnsi="宋体" w:cs="宋体"/>
          <w:sz w:val="32"/>
          <w:szCs w:val="32"/>
        </w:rPr>
        <w:t xml:space="preserve">8.合同</w:t>
      </w:r>
      <w:r/>
    </w:p>
    <w:p>
      <w:pPr>
        <w:spacing w:line="490" w:lineRule="exact"/>
        <w:rPr>
          <w:rFonts w:ascii="宋体" w:hAnsi="宋体" w:cs="宋体"/>
          <w:b/>
          <w:sz w:val="28"/>
          <w:szCs w:val="28"/>
        </w:rPr>
      </w:pPr>
      <w:r>
        <w:rPr>
          <w:rFonts w:hint="eastAsia" w:ascii="宋体" w:hAnsi="宋体" w:cs="宋体"/>
          <w:b/>
          <w:sz w:val="28"/>
          <w:szCs w:val="28"/>
        </w:rPr>
        <w:t xml:space="preserve">8.1 履约保证金</w:t>
      </w:r>
      <w:r/>
    </w:p>
    <w:p>
      <w:pPr>
        <w:ind w:firstLine="560"/>
        <w:spacing w:line="490" w:lineRule="exact"/>
        <w:rPr>
          <w:rFonts w:ascii="宋体" w:hAnsi="宋体" w:cs="宋体"/>
          <w:sz w:val="28"/>
          <w:szCs w:val="28"/>
        </w:rPr>
      </w:pPr>
      <w:r>
        <w:rPr>
          <w:rFonts w:hint="eastAsia" w:ascii="宋体" w:hAnsi="宋体" w:cs="宋体"/>
          <w:sz w:val="28"/>
          <w:szCs w:val="28"/>
        </w:rPr>
        <w:t xml:space="preserve">8.1.1中标人应按供应商须知前附表规定的履约保证金的形式、金额和提交时间向招标人提交履约保证金。</w:t>
      </w:r>
      <w:r/>
    </w:p>
    <w:p>
      <w:pPr>
        <w:ind w:firstLine="560"/>
        <w:spacing w:line="490" w:lineRule="exact"/>
        <w:rPr>
          <w:rFonts w:ascii="宋体" w:hAnsi="宋体" w:cs="宋体"/>
          <w:b/>
          <w:sz w:val="28"/>
          <w:szCs w:val="28"/>
        </w:rPr>
      </w:pPr>
      <w:r>
        <w:rPr>
          <w:rFonts w:hint="eastAsia" w:ascii="宋体" w:hAnsi="宋体" w:cs="宋体"/>
          <w:sz w:val="28"/>
          <w:szCs w:val="28"/>
        </w:rPr>
        <w:t xml:space="preserve">8.1.2中标人不能按本招标文件要求提交履约保证金的，视为放弃中标，给招标人造成损失的，中标人还应当予以赔偿。</w:t>
      </w:r>
      <w:r/>
    </w:p>
    <w:p>
      <w:pPr>
        <w:spacing w:line="490" w:lineRule="exact"/>
        <w:rPr>
          <w:rFonts w:ascii="宋体" w:hAnsi="宋体" w:cs="宋体"/>
          <w:b/>
          <w:sz w:val="28"/>
          <w:szCs w:val="28"/>
        </w:rPr>
      </w:pPr>
      <w:r>
        <w:rPr>
          <w:rFonts w:hint="eastAsia" w:ascii="宋体" w:hAnsi="宋体" w:cs="宋体"/>
          <w:b/>
          <w:sz w:val="28"/>
          <w:szCs w:val="28"/>
        </w:rPr>
        <w:t xml:space="preserve">8.2签订合同</w:t>
      </w:r>
      <w:r/>
    </w:p>
    <w:p>
      <w:pPr>
        <w:ind w:firstLine="560"/>
        <w:spacing w:line="490" w:lineRule="exact"/>
        <w:rPr>
          <w:rFonts w:ascii="宋体" w:hAnsi="宋体" w:cs="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宋体" w:hAnsi="宋体" w:cs="宋体"/>
          <w:sz w:val="32"/>
          <w:szCs w:val="32"/>
        </w:rPr>
      </w:pPr>
      <w:r>
        <w:rPr>
          <w:rFonts w:hint="eastAsia" w:ascii="宋体" w:hAnsi="宋体" w:cs="宋体"/>
          <w:sz w:val="32"/>
          <w:szCs w:val="32"/>
        </w:rPr>
        <w:t xml:space="preserve">9. 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38"/>
      <w:r/>
      <w:bookmarkEnd w:id="39"/>
      <w:r/>
      <w:bookmarkEnd w:id="40"/>
      <w:r/>
      <w:bookmarkEnd w:id="41"/>
      <w:r/>
      <w:bookmarkEnd w:id="42"/>
      <w:r/>
      <w:bookmarkEnd w:id="43"/>
      <w:r/>
      <w:bookmarkEnd w:id="44"/>
      <w:r/>
      <w:bookmarkEnd w:id="45"/>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Start w:id="210" w:name="_Hlt24879081"/>
      <w:r/>
      <w:bookmarkEnd w:id="210"/>
      <w:r/>
      <w:bookmarkStart w:id="211" w:name="_Hlt26671372"/>
      <w:r/>
      <w:bookmarkEnd w:id="211"/>
      <w:r/>
      <w:bookmarkStart w:id="212" w:name="_Hlt26609391"/>
      <w:r/>
      <w:bookmarkEnd w:id="212"/>
      <w:r/>
      <w:bookmarkStart w:id="213" w:name="_Hlt26782999"/>
      <w:r/>
      <w:bookmarkEnd w:id="213"/>
      <w:r/>
      <w:bookmarkStart w:id="214" w:name="_Hlt26955064"/>
      <w:r/>
      <w:bookmarkEnd w:id="214"/>
      <w:r/>
      <w:bookmarkStart w:id="215" w:name="_Hlt26580838"/>
      <w:r/>
      <w:bookmarkEnd w:id="215"/>
      <w:r/>
      <w:bookmarkStart w:id="216" w:name="_Hlt26671343"/>
      <w:r/>
      <w:bookmarkEnd w:id="216"/>
      <w:r/>
      <w:bookmarkStart w:id="217" w:name="_Hlt26955056"/>
      <w:r/>
      <w:bookmarkEnd w:id="217"/>
      <w:r/>
      <w:r/>
    </w:p>
    <w:p>
      <w:pPr>
        <w:pStyle w:val="734"/>
        <w:spacing w:line="490" w:lineRule="exact"/>
      </w:pPr>
      <w:r/>
      <w:r/>
    </w:p>
    <w:p>
      <w:pPr>
        <w:pStyle w:val="734"/>
      </w:pPr>
      <w:r/>
      <w:r/>
    </w:p>
    <w:p>
      <w:pPr>
        <w:pStyle w:val="734"/>
      </w:pPr>
      <w:r/>
      <w:r/>
    </w:p>
    <w:p>
      <w:pPr>
        <w:pStyle w:val="734"/>
      </w:pPr>
      <w:r/>
      <w:r/>
    </w:p>
    <w:p>
      <w:pPr>
        <w:pStyle w:val="734"/>
      </w:pPr>
      <w:r/>
      <w:r/>
    </w:p>
    <w:p>
      <w:pPr>
        <w:jc w:val="left"/>
        <w:widowControl/>
      </w:pPr>
      <w:r>
        <w:br w:type="page" w:clear="all"/>
      </w:r>
      <w:r/>
    </w:p>
    <w:p>
      <w:pPr>
        <w:pStyle w:val="912"/>
        <w:ind w:left="-2" w:firstLine="643"/>
        <w:jc w:val="center"/>
        <w:spacing w:line="360" w:lineRule="exact"/>
        <w:rPr>
          <w:rFonts w:ascii="微软雅黑" w:hAnsi="微软雅黑" w:eastAsia="微软雅黑" w:cs="微软雅黑"/>
          <w:b/>
          <w:sz w:val="36"/>
          <w:szCs w:val="36"/>
        </w:rPr>
        <w:outlineLvl w:val="0"/>
      </w:pPr>
      <w:r>
        <w:rPr>
          <w:rFonts w:hint="eastAsia" w:ascii="微软雅黑" w:hAnsi="微软雅黑" w:eastAsia="微软雅黑" w:cs="微软雅黑"/>
          <w:b/>
          <w:sz w:val="36"/>
          <w:szCs w:val="36"/>
        </w:rPr>
        <w:t xml:space="preserve">第三章 资格审查及评标办法</w:t>
      </w:r>
      <w:r/>
    </w:p>
    <w:p>
      <w:pPr>
        <w:rPr>
          <w:rFonts w:ascii="宋体" w:hAnsi="宋体" w:cs="宋体"/>
          <w:sz w:val="28"/>
          <w:szCs w:val="28"/>
        </w:rPr>
      </w:pPr>
      <w:r/>
      <w:bookmarkStart w:id="218" w:name="_Toc246996974"/>
      <w:r/>
      <w:bookmarkStart w:id="219" w:name="_Toc426469920"/>
      <w:r/>
      <w:bookmarkStart w:id="220" w:name="_Toc247085746"/>
      <w:r/>
      <w:bookmarkStart w:id="221" w:name="_Toc246996231"/>
      <w:r/>
      <w:bookmarkStart w:id="222" w:name="_Toc383438647"/>
      <w:r/>
      <w:bookmarkStart w:id="223" w:name="_Toc343525563"/>
      <w:r/>
      <w:bookmarkStart w:id="224" w:name="_Toc152045588"/>
      <w:r/>
      <w:bookmarkStart w:id="225" w:name="_Toc179632606"/>
      <w:r/>
      <w:bookmarkStart w:id="226" w:name="_Toc144974555"/>
      <w:r/>
      <w:bookmarkStart w:id="227" w:name="_Toc152042365"/>
      <w:r>
        <w:rPr>
          <w:rFonts w:hint="eastAsia" w:ascii="宋体" w:hAnsi="宋体" w:cs="宋体"/>
          <w:sz w:val="28"/>
          <w:szCs w:val="28"/>
        </w:rPr>
        <w:t xml:space="preserve">资格审查和评标办法前附表</w:t>
      </w:r>
      <w:bookmarkEnd w:id="218"/>
      <w:r/>
      <w:bookmarkEnd w:id="219"/>
      <w:r/>
      <w:bookmarkEnd w:id="220"/>
      <w:r/>
      <w:bookmarkEnd w:id="221"/>
      <w:r/>
      <w:bookmarkEnd w:id="222"/>
      <w:r/>
      <w:bookmarkEnd w:id="223"/>
      <w:r/>
      <w:bookmarkEnd w:id="224"/>
      <w:r/>
      <w:bookmarkEnd w:id="225"/>
      <w:r/>
      <w:bookmarkEnd w:id="226"/>
      <w:r/>
      <w:bookmarkEnd w:id="227"/>
      <w:r/>
      <w:bookmarkStart w:id="228" w:name="_Toc247085747"/>
      <w:r/>
      <w:bookmarkStart w:id="229" w:name="_Toc343525564"/>
      <w:r/>
      <w:bookmarkStart w:id="230" w:name="_Toc246996232"/>
      <w:r/>
      <w:bookmarkStart w:id="231" w:name="_Toc179632607"/>
      <w:r/>
      <w:bookmarkStart w:id="232" w:name="_Toc152045589"/>
      <w:r/>
      <w:bookmarkStart w:id="233" w:name="_Toc144974556"/>
      <w:r/>
      <w:bookmarkStart w:id="234" w:name="_Toc246996975"/>
      <w:r/>
      <w:bookmarkStart w:id="235" w:name="_Toc152042366"/>
      <w:r/>
      <w:r/>
    </w:p>
    <w:tbl>
      <w:tblPr>
        <w:tblStyle w:val="728"/>
        <w:tblW w:w="967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6"/>
        <w:gridCol w:w="529"/>
        <w:gridCol w:w="2663"/>
        <w:gridCol w:w="5330"/>
        <w:gridCol w:w="611"/>
      </w:tblGrid>
      <w:tr>
        <w:trPr>
          <w:jc w:val="center"/>
          <w:trHeight w:val="296"/>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条款号</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评审因素</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资格审查</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pStyle w:val="733"/>
              <w:rPr>
                <w:rFonts w:ascii="宋体" w:hAnsi="宋体" w:cs="宋体"/>
              </w:rPr>
            </w:pPr>
            <w:r>
              <w:rPr>
                <w:rFonts w:hint="eastAsia" w:ascii="宋体" w:hAnsi="宋体" w:cs="宋体"/>
              </w:rPr>
              <w:t xml:space="preserve">无</w:t>
            </w:r>
            <w:r/>
          </w:p>
        </w:tc>
      </w:tr>
      <w:tr>
        <w:trPr>
          <w:jc w:val="center"/>
          <w:trHeight w:val="345"/>
        </w:trPr>
        <w:tc>
          <w:tcPr>
            <w:gridSpan w:val="5"/>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380" w:lineRule="exact"/>
              <w:rPr>
                <w:rFonts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jc w:val="center"/>
          <w:trHeight w:val="345"/>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符</w:t>
            </w:r>
            <w:r/>
          </w:p>
          <w:p>
            <w:pPr>
              <w:jc w:val="center"/>
              <w:rPr>
                <w:rFonts w:ascii="宋体" w:hAnsi="宋体" w:cs="宋体"/>
              </w:rPr>
            </w:pPr>
            <w:r>
              <w:rPr>
                <w:rFonts w:hint="eastAsia" w:ascii="宋体" w:hAnsi="宋体" w:cs="宋体"/>
              </w:rPr>
              <w:t xml:space="preserve">合</w:t>
            </w:r>
            <w:r/>
          </w:p>
          <w:p>
            <w:pPr>
              <w:jc w:val="center"/>
              <w:rPr>
                <w:rFonts w:ascii="宋体" w:hAnsi="宋体" w:cs="宋体"/>
              </w:rPr>
            </w:pPr>
            <w:r>
              <w:rPr>
                <w:rFonts w:hint="eastAsia" w:ascii="宋体" w:hAnsi="宋体" w:cs="宋体"/>
              </w:rPr>
              <w:t xml:space="preserve">性</w:t>
            </w:r>
            <w:r/>
          </w:p>
          <w:p>
            <w:pPr>
              <w:jc w:val="center"/>
              <w:rPr>
                <w:rFonts w:ascii="宋体" w:hAnsi="宋体" w:cs="宋体"/>
              </w:rPr>
            </w:pPr>
            <w:r>
              <w:rPr>
                <w:rFonts w:hint="eastAsia" w:ascii="宋体" w:hAnsi="宋体" w:cs="宋体"/>
              </w:rPr>
              <w:t xml:space="preserve">评</w:t>
            </w:r>
            <w:r/>
          </w:p>
          <w:p>
            <w:pPr>
              <w:jc w:val="center"/>
              <w:rPr>
                <w:rFonts w:ascii="宋体" w:hAnsi="宋体" w:cs="宋体"/>
              </w:rPr>
            </w:pPr>
            <w:r>
              <w:rPr>
                <w:rFonts w:hint="eastAsia" w:ascii="宋体" w:hAnsi="宋体" w:cs="宋体"/>
              </w:rPr>
              <w:t xml:space="preserve">审</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符合第二章第3.4.4项规定</w:t>
            </w:r>
            <w:r/>
          </w:p>
        </w:tc>
      </w:tr>
      <w:tr>
        <w:trPr>
          <w:jc w:val="center"/>
          <w:trHeight w:val="32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报价</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spacing w:val="-11"/>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投标有效期</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偏离</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第五章采购需求允许偏离；</w:t>
            </w:r>
            <w:r/>
          </w:p>
        </w:tc>
      </w:tr>
      <w:tr>
        <w:trPr>
          <w:jc w:val="center"/>
          <w:trHeight w:val="378"/>
        </w:trPr>
        <w:tc>
          <w:tcPr>
            <w:gridSpan w:val="5"/>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460" w:lineRule="exact"/>
              <w:rPr>
                <w:rFonts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r>
        <w:trPr>
          <w:jc w:val="center"/>
          <w:trHeight w:val="276"/>
        </w:trPr>
        <w:tc>
          <w:tcPr>
            <w:gridSpan w:val="5"/>
            <w:tcBorders>
              <w:top w:val="single" w:color="auto" w:sz="6" w:space="0"/>
              <w:left w:val="single" w:color="auto" w:sz="6" w:space="0"/>
              <w:bottom w:val="single" w:color="auto" w:sz="4" w:space="0"/>
              <w:right w:val="single" w:color="auto" w:sz="6" w:space="0"/>
            </w:tcBorders>
            <w:tcW w:w="9679" w:type="dxa"/>
            <w:vAlign w:val="center"/>
            <w:textDirection w:val="lrTb"/>
            <w:noWrap w:val="false"/>
          </w:tcPr>
          <w:p>
            <w:pPr>
              <w:jc w:val="center"/>
              <w:spacing w:line="320" w:lineRule="exact"/>
              <w:rPr>
                <w:rFonts w:ascii="宋体" w:hAnsi="宋体" w:cs="宋体"/>
                <w:b/>
              </w:rPr>
            </w:pPr>
            <w:r>
              <w:rPr>
                <w:rFonts w:hint="eastAsia" w:ascii="宋体" w:hAnsi="宋体" w:cs="宋体"/>
                <w:b/>
              </w:rPr>
              <w:t xml:space="preserve">2.3详细评审</w:t>
            </w:r>
            <w:r/>
          </w:p>
        </w:tc>
      </w:tr>
      <w:tr>
        <w:trPr>
          <w:jc w:val="center"/>
          <w:trHeight w:val="350"/>
        </w:trPr>
        <w:tc>
          <w:tcPr>
            <w:gridSpan w:val="2"/>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60" w:lineRule="exact"/>
              <w:rPr>
                <w:rFonts w:ascii="宋体" w:hAnsi="宋体" w:cs="宋体"/>
                <w:b/>
                <w:bCs/>
                <w:spacing w:val="2422"/>
              </w:rPr>
            </w:pPr>
            <w:r/>
            <w:bookmarkStart w:id="236" w:name="_Toc426469921"/>
            <w:r>
              <w:rPr>
                <w:rFonts w:hint="eastAsia" w:ascii="宋体" w:hAnsi="宋体" w:cs="宋体"/>
                <w:b/>
                <w:bCs/>
              </w:rPr>
              <w:t xml:space="preserve">评审项目</w:t>
            </w:r>
            <w:r/>
          </w:p>
        </w:tc>
        <w:tc>
          <w:tcPr>
            <w:gridSpan w:val="2"/>
            <w:tcBorders>
              <w:top w:val="single" w:color="auto" w:sz="4" w:space="0"/>
              <w:left w:val="single" w:color="auto" w:sz="4" w:space="0"/>
              <w:bottom w:val="single" w:color="auto" w:sz="4" w:space="0"/>
              <w:right w:val="single" w:color="auto" w:sz="4" w:space="0"/>
            </w:tcBorders>
            <w:tcW w:w="7993" w:type="dxa"/>
            <w:vAlign w:val="center"/>
            <w:textDirection w:val="lrTb"/>
            <w:noWrap w:val="false"/>
          </w:tcPr>
          <w:p>
            <w:pPr>
              <w:jc w:val="center"/>
              <w:spacing w:line="460" w:lineRule="exact"/>
              <w:rPr>
                <w:rFonts w:ascii="宋体" w:hAnsi="宋体" w:cs="宋体"/>
                <w:b/>
                <w:bCs/>
                <w:spacing w:val="2062"/>
              </w:rPr>
            </w:pPr>
            <w:r>
              <w:rPr>
                <w:rFonts w:hint="eastAsia" w:ascii="宋体" w:hAnsi="宋体" w:cs="宋体"/>
                <w:b/>
                <w:bCs/>
              </w:rPr>
              <w:t xml:space="preserve">评分标准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460" w:lineRule="exact"/>
              <w:rPr>
                <w:rFonts w:ascii="宋体" w:hAnsi="宋体" w:cs="宋体"/>
                <w:b/>
                <w:bCs/>
                <w:spacing w:val="947"/>
              </w:rPr>
            </w:pPr>
            <w:r>
              <w:rPr>
                <w:rFonts w:hint="eastAsia" w:ascii="宋体" w:hAnsi="宋体" w:cs="宋体"/>
                <w:b/>
                <w:bCs/>
              </w:rPr>
              <w:t xml:space="preserve">分值</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报价部分</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资格性审查和符合性审查合格且投标价格最低为评标基准价，其价格分为30分。其他投标人的价格分按照下列公式计算（小数点保留两位）：投标报价得分=（评标基准价／投标报价）×30分（保留两位小数）。</w:t>
            </w:r>
            <w:r/>
          </w:p>
          <w:p>
            <w:pPr>
              <w:jc w:val="left"/>
              <w:rPr>
                <w:rFonts w:ascii="宋体" w:hAnsi="宋体" w:cs="宋体"/>
                <w:sz w:val="21"/>
                <w:szCs w:val="21"/>
              </w:rPr>
            </w:pPr>
            <w:r>
              <w:rPr>
                <w:rFonts w:hint="eastAsia" w:ascii="宋体" w:hAnsi="宋体" w:cs="宋体"/>
                <w:sz w:val="21"/>
                <w:szCs w:val="21"/>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30</w:t>
            </w:r>
            <w:r/>
          </w:p>
        </w:tc>
      </w:tr>
      <w:tr>
        <w:trPr>
          <w:jc w:val="center"/>
          <w:trHeight w:val="407"/>
        </w:trPr>
        <w:tc>
          <w:tcPr>
            <w:gridSpan w:val="5"/>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rPr>
                <w:rFonts w:asciiTheme="minorEastAsia" w:hAnsiTheme="minorEastAsia" w:eastAsiaTheme="minorEastAsia"/>
                <w:sz w:val="21"/>
                <w:szCs w:val="21"/>
              </w:rPr>
            </w:pPr>
            <w:r>
              <w:rPr>
                <w:rFonts w:hint="eastAsia"/>
                <w:sz w:val="21"/>
                <w:szCs w:val="21"/>
              </w:rPr>
              <w:t xml:space="preserve">商务评审</w:t>
            </w:r>
            <w:r>
              <w:rPr>
                <w:rFonts w:hint="eastAsia" w:ascii="仿宋" w:hAnsi="仿宋" w:eastAsia="仿宋"/>
                <w:bCs/>
                <w:sz w:val="21"/>
                <w:szCs w:val="21"/>
              </w:rPr>
              <w:t xml:space="preserve">（30分）</w:t>
            </w:r>
            <w:r/>
          </w:p>
        </w:tc>
      </w:tr>
      <w:tr>
        <w:trPr>
          <w:jc w:val="center"/>
          <w:trHeight w:val="90"/>
        </w:trPr>
        <w:tc>
          <w:tcPr>
            <w:gridSpan w:val="2"/>
            <w:shd w:val="clear" w:color="auto" w:fill="auto"/>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企业体系认证及综合实力</w:t>
            </w:r>
            <w:r/>
          </w:p>
        </w:tc>
        <w:tc>
          <w:tcPr>
            <w:gridSpan w:val="2"/>
            <w:shd w:val="clear" w:color="auto" w:fill="auto"/>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1.投标人或所投产品制造商具有质量管理体系认证证书，且范围至少包括：木制家具、软体家具、金属家具，得1分，未提供或认证范围不符合的不得分。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2.投标人或所投产品制造商具有环境管理体系认证证书，且范围至少包括：木制家具、软体家具、金属家具，得1分，未提供或认证范围不符合的不得分。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3.投标人或所投产品制造商具有职业健康安全管理体系认证证书，且范围至少包括：木制家具、软体家具、金属家具，得1分，未提供或认证范围不符合的不得分。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4.投标人或所投产品制造商具有有效期内的安全认证证书，且范围至少包括：木制家具、软体家具、金属家具，得1分，未提供或认证范围不符合的不得分。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5.投标人或所投产品制造商具有有效期内的家具产品环保卫士认证证书，且范围至少包括：木制家具、软体家具、金属家具得1分，未提供或认证范围不符合的不得分。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注：以上证书须在“全国认证认可信息公共服务平台”上可查，并提供网页截图。</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5</w:t>
            </w:r>
            <w:r/>
          </w:p>
        </w:tc>
      </w:tr>
      <w:tr>
        <w:trPr>
          <w:jc w:val="center"/>
          <w:trHeight w:val="990"/>
        </w:trPr>
        <w:tc>
          <w:tcPr>
            <w:gridSpan w:val="2"/>
            <w:shd w:val="clear" w:color="auto" w:fill="auto"/>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类似项目业绩</w:t>
            </w:r>
            <w:r/>
          </w:p>
        </w:tc>
        <w:tc>
          <w:tcPr>
            <w:gridSpan w:val="2"/>
            <w:shd w:val="clear" w:color="auto" w:fill="auto"/>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pStyle w:val="733"/>
              <w:rPr>
                <w:rFonts w:ascii="宋体" w:hAnsi="宋体" w:cs="宋体"/>
                <w:sz w:val="21"/>
                <w:szCs w:val="21"/>
              </w:rPr>
            </w:pPr>
            <w:r>
              <w:rPr>
                <w:rFonts w:hint="eastAsia" w:ascii="宋体" w:hAnsi="宋体" w:cs="宋体"/>
                <w:sz w:val="21"/>
                <w:szCs w:val="21"/>
              </w:rPr>
              <w:t xml:space="preserve">提供投标人自2022年1月1日以来（以合同签订时间为准）的家具业绩，每提供完整的一份业绩合同得1分，此项满分5分,需提供中标通知书、合同复印件、验收报告及</w:t>
            </w:r>
            <w:r>
              <w:rPr>
                <w:rFonts w:hint="eastAsia"/>
                <w:sz w:val="21"/>
                <w:szCs w:val="21"/>
              </w:rPr>
              <w:t xml:space="preserve">合同期内任意一期价款税票和流水</w:t>
            </w:r>
            <w:r>
              <w:rPr>
                <w:rFonts w:hint="eastAsia" w:ascii="宋体" w:hAnsi="宋体" w:cs="宋体"/>
                <w:sz w:val="21"/>
                <w:szCs w:val="21"/>
              </w:rPr>
              <w:t xml:space="preserve">，不提供及缺项不得分。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5</w:t>
            </w:r>
            <w:r/>
          </w:p>
        </w:tc>
      </w:tr>
      <w:tr>
        <w:trPr>
          <w:jc w:val="center"/>
          <w:trHeight w:val="403"/>
        </w:trPr>
        <w:tc>
          <w:tcPr>
            <w:gridSpan w:val="2"/>
            <w:shd w:val="clear" w:color="auto" w:fill="auto"/>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spacing w:line="320" w:lineRule="exact"/>
              <w:rPr>
                <w:rFonts w:ascii="宋体" w:hAnsi="宋体" w:cs="宋体"/>
                <w:sz w:val="21"/>
                <w:szCs w:val="21"/>
              </w:rPr>
            </w:pPr>
            <w:r>
              <w:rPr>
                <w:rFonts w:hint="eastAsia" w:ascii="宋体" w:hAnsi="宋体" w:cs="宋体"/>
                <w:sz w:val="21"/>
                <w:szCs w:val="21"/>
              </w:rPr>
              <w:t xml:space="preserve">技术参数响应情况</w:t>
            </w:r>
            <w:r/>
          </w:p>
        </w:tc>
        <w:tc>
          <w:tcPr>
            <w:gridSpan w:val="2"/>
            <w:shd w:val="clear" w:color="auto" w:fill="auto"/>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设备采购清单中技术参数加▲部分为产品检测要求，投标人在投标文件中需提供由国家认可的质量监督检验机构或第三方检测机构出具的所投产品检测报告复印件并加盖投标人公章，检测报告上有国家法定CMA资质认证标记。本项目设备采购清单中共有10个加▲，每个产品检测报告及检测项目都齐全的，得满分 20分；每缺一份检测报告，扣2分。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0</w:t>
            </w:r>
            <w:r/>
          </w:p>
        </w:tc>
      </w:tr>
      <w:tr>
        <w:trPr>
          <w:jc w:val="center"/>
          <w:trHeight w:val="380"/>
        </w:trPr>
        <w:tc>
          <w:tcPr>
            <w:gridSpan w:val="5"/>
            <w:shd w:val="clear" w:color="auto" w:fill="auto"/>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技术评审（40分）</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成品检验报告</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投标人或所投产品制造商提供2023年1月1日以来由国家认可的第三方权威检测机构出具的具有CMA 标识的</w:t>
            </w:r>
            <w:r>
              <w:rPr>
                <w:rFonts w:hint="eastAsia" w:ascii="宋体" w:hAnsi="宋体" w:cs="宋体"/>
                <w:sz w:val="21"/>
                <w:szCs w:val="21"/>
              </w:rPr>
              <w:t xml:space="preserve">合格抽样检测报告进行评分。                                                                                                                1.法官台，符合GB/T 3324-2024、GB 18584-2024、GB/T 35607-2024标准；检测内容至少包含：甲醛释放量合格；苯乙烯≤0.10mg/m³，二氯苯≤0.10mg/m³，总醛酮化合物1级；均合格的得1分，缺少检测项或者不符合不得分；</w:t>
            </w:r>
            <w:r/>
          </w:p>
          <w:p>
            <w:pPr>
              <w:jc w:val="left"/>
              <w:rPr>
                <w:rFonts w:ascii="宋体" w:hAnsi="宋体" w:cs="宋体"/>
                <w:sz w:val="21"/>
                <w:szCs w:val="21"/>
              </w:rPr>
            </w:pPr>
            <w:r>
              <w:rPr>
                <w:rFonts w:hint="eastAsia" w:ascii="宋体" w:hAnsi="宋体" w:cs="宋体"/>
                <w:sz w:val="21"/>
                <w:szCs w:val="21"/>
              </w:rPr>
              <w:t xml:space="preserve">2.法官椅，符合GB/T 3324-2024、GB 18584-2024、GB/T 35607-20241标准；检测内容至少包含：甲醛释放量，漆膜耐黄变，可分解芳香胺染料（含皮革的家具）；均合格的得1分，缺少检测项或者不符合不得分；</w:t>
            </w:r>
            <w:r/>
          </w:p>
          <w:p>
            <w:pPr>
              <w:jc w:val="left"/>
              <w:rPr>
                <w:rFonts w:ascii="宋体" w:hAnsi="宋体" w:cs="宋体"/>
                <w:sz w:val="21"/>
                <w:szCs w:val="21"/>
              </w:rPr>
            </w:pPr>
            <w:r>
              <w:rPr>
                <w:rFonts w:hint="eastAsia" w:ascii="宋体" w:hAnsi="宋体" w:cs="宋体"/>
                <w:sz w:val="21"/>
                <w:szCs w:val="21"/>
              </w:rPr>
              <w:t xml:space="preserve">3.书记员桌，符合GB/T 3324-2024、GB 18584-2024、GB/T 35607-2024标准；检测内容至少包含：甲醛释放量，漆膜附着力，漆膜耐磨性，漆膜抗冲击。均合格的得1分，缺少检测项或者不符合不得分；</w:t>
            </w:r>
            <w:r/>
          </w:p>
          <w:p>
            <w:pPr>
              <w:jc w:val="left"/>
              <w:rPr>
                <w:rFonts w:ascii="宋体" w:hAnsi="宋体" w:cs="宋体"/>
                <w:sz w:val="21"/>
                <w:szCs w:val="21"/>
              </w:rPr>
            </w:pPr>
            <w:r>
              <w:rPr>
                <w:rFonts w:hint="eastAsia" w:ascii="宋体" w:hAnsi="宋体" w:cs="宋体"/>
                <w:sz w:val="21"/>
                <w:szCs w:val="21"/>
              </w:rPr>
              <w:t xml:space="preserve">4.礼堂椅：符合QB/T 2602-2013、GB/T 40263-2021、GB/T 5453-1997、GB/T 24253-2009 标准；检测内容至少包含：水洗后扭曲率；金属件外观；防螨性能驱避率。均合格的得1分，缺少检测项或者不符合不得分；  </w:t>
            </w:r>
            <w:r/>
          </w:p>
          <w:p>
            <w:pPr>
              <w:pStyle w:val="930"/>
              <w:ind w:right="170"/>
              <w:rPr>
                <w:spacing w:val="-6"/>
                <w:sz w:val="21"/>
                <w:szCs w:val="21"/>
                <w:lang w:eastAsia="zh-CN"/>
              </w:rPr>
            </w:pPr>
            <w:r>
              <w:rPr>
                <w:rFonts w:hint="eastAsia"/>
                <w:sz w:val="21"/>
                <w:szCs w:val="21"/>
                <w:lang w:eastAsia="zh-CN"/>
              </w:rPr>
              <w:t xml:space="preserve">5.旁听席座椅：符合GB/T 3324-2024、GB 18584-2024、GB/T 44689-2024标准；检测内容至少包含：椅凳类强度：座面静载荷试验、椅背静载荷试验；椅子向前倾翻试验，均合格的得1分，缺少检测项或者不符合不得分；。                                                                                   </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5</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项目实施</w:t>
            </w:r>
            <w:r/>
          </w:p>
          <w:p>
            <w:pPr>
              <w:jc w:val="center"/>
              <w:spacing w:line="400" w:lineRule="exact"/>
              <w:rPr>
                <w:rFonts w:ascii="宋体" w:hAnsi="宋体" w:cs="宋体"/>
                <w:color w:val="000000"/>
                <w:sz w:val="21"/>
                <w:szCs w:val="21"/>
              </w:rPr>
            </w:pPr>
            <w:r>
              <w:rPr>
                <w:rFonts w:hint="eastAsia" w:ascii="宋体" w:hAnsi="宋体" w:cs="宋体"/>
                <w:sz w:val="21"/>
                <w:szCs w:val="21"/>
              </w:rPr>
              <w:t xml:space="preserve">方案</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根据投标人提供的供货方案，从供货计划、质量保证及控制措施、运输方案、安装方案、验收方案5个方面进行综合评价，满分25分。</w:t>
            </w:r>
            <w:r/>
          </w:p>
          <w:p>
            <w:pPr>
              <w:rPr>
                <w:rFonts w:ascii="宋体" w:hAnsi="宋体" w:cs="宋体"/>
                <w:sz w:val="21"/>
                <w:szCs w:val="21"/>
              </w:rPr>
            </w:pPr>
            <w:r>
              <w:rPr>
                <w:rFonts w:hint="eastAsia" w:ascii="宋体" w:hAnsi="宋体" w:cs="宋体"/>
                <w:sz w:val="21"/>
                <w:szCs w:val="21"/>
              </w:rPr>
              <w:t xml:space="preserve">1、供货计划全面详实，针对性较强，整体思路科学合理，可操作性较强得5分，有一定的针对性，整体基本合理，可操作性一般得2分，内容有欠缺、不科学、欠合理的得1分，缺项的计0分。</w:t>
            </w:r>
            <w:r/>
          </w:p>
          <w:p>
            <w:pPr>
              <w:jc w:val="left"/>
              <w:rPr>
                <w:rFonts w:ascii="宋体" w:hAnsi="宋体" w:cs="宋体"/>
                <w:sz w:val="21"/>
                <w:szCs w:val="21"/>
              </w:rPr>
            </w:pPr>
            <w:r>
              <w:rPr>
                <w:rFonts w:hint="eastAsia" w:ascii="宋体" w:hAnsi="宋体" w:cs="宋体"/>
                <w:sz w:val="21"/>
                <w:szCs w:val="21"/>
              </w:rPr>
              <w:t xml:space="preserve">2、质量保证及控制措施，针对性较强，整体思路科学合理，可操作性较强得5分，有</w:t>
            </w:r>
            <w:r>
              <w:rPr>
                <w:rFonts w:hint="eastAsia" w:ascii="宋体" w:hAnsi="宋体" w:cs="宋体"/>
                <w:sz w:val="21"/>
                <w:szCs w:val="21"/>
              </w:rPr>
              <w:t xml:space="preserve">一定的针对性，整体基本合理，可操作性一般得2分，内容有欠缺、不科学、欠合理的得1分，缺项的计0分。                                                                                                                         3、运输方案全面详实，针对性较强，整体思路科学合理，可操作性较强得5分，有一定的针对性，整体基本合理，可操作性一般得2分，内容有欠缺、不科学、欠合理的得1分，缺项的计0分。</w:t>
            </w:r>
            <w:r/>
          </w:p>
          <w:p>
            <w:pPr>
              <w:rPr>
                <w:rFonts w:ascii="宋体" w:hAnsi="宋体" w:cs="宋体"/>
                <w:sz w:val="21"/>
                <w:szCs w:val="21"/>
              </w:rPr>
            </w:pPr>
            <w:r>
              <w:rPr>
                <w:rFonts w:hint="eastAsia" w:ascii="宋体" w:hAnsi="宋体" w:cs="宋体"/>
                <w:sz w:val="21"/>
                <w:szCs w:val="21"/>
              </w:rPr>
              <w:t xml:space="preserve">4、安装方案全面详实，针对性较强，整体思路科学合理，可操作性较强得5分，有一定的针对性，整体基本合理，可操作性一般得2分，内容有欠缺、不科学、欠合理的得1分，缺项的计0分。</w:t>
            </w:r>
            <w:r/>
          </w:p>
          <w:p>
            <w:pPr>
              <w:rPr>
                <w:rFonts w:ascii="宋体" w:hAnsi="宋体" w:cs="宋体"/>
                <w:spacing w:val="-6"/>
                <w:sz w:val="21"/>
                <w:szCs w:val="21"/>
              </w:rPr>
            </w:pPr>
            <w:r>
              <w:rPr>
                <w:rFonts w:hint="eastAsia" w:ascii="宋体" w:hAnsi="宋体" w:cs="宋体"/>
                <w:sz w:val="21"/>
                <w:szCs w:val="21"/>
              </w:rPr>
              <w:t xml:space="preserve">5、验收方案全面详实，针对性较强，整体思路科学合理，可操作性较强得5分，有一定的针对性，整体基本合理，可操作性一般得2分，内容有欠缺、不科学、欠合理的得1分，缺项的计0分。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25</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售后服务</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投标人根据本项目制定详细的售后服务方案，包含但不仅限于质保期内及质保期满后的服务内容、服务响应时间、服务人员安排及服务保障措施等内容，评标委员会根据供应商提供的售后服务方案进行综合评价：</w:t>
            </w:r>
            <w:r/>
          </w:p>
          <w:p>
            <w:pPr>
              <w:jc w:val="left"/>
              <w:rPr>
                <w:rFonts w:ascii="宋体" w:hAnsi="宋体" w:cs="宋体"/>
                <w:sz w:val="21"/>
                <w:szCs w:val="21"/>
              </w:rPr>
            </w:pPr>
            <w:r>
              <w:rPr>
                <w:rFonts w:hint="eastAsia" w:ascii="宋体" w:hAnsi="宋体" w:cs="宋体"/>
                <w:sz w:val="21"/>
                <w:szCs w:val="21"/>
              </w:rPr>
              <w:t xml:space="preserve">1.售后服务方案全面详实，针对性较强，整体思路科学合理，可操作性较强的得10分；</w:t>
            </w:r>
            <w:r/>
          </w:p>
          <w:p>
            <w:pPr>
              <w:jc w:val="left"/>
              <w:rPr>
                <w:rFonts w:ascii="宋体" w:hAnsi="宋体" w:cs="宋体"/>
                <w:sz w:val="21"/>
                <w:szCs w:val="21"/>
              </w:rPr>
            </w:pPr>
            <w:r>
              <w:rPr>
                <w:rFonts w:hint="eastAsia" w:ascii="宋体" w:hAnsi="宋体" w:cs="宋体"/>
                <w:sz w:val="21"/>
                <w:szCs w:val="21"/>
              </w:rPr>
              <w:t xml:space="preserve">2.售后服务方案基本全面，有一定的针对性，整体基本合理，可操作性一般的得5 分；</w:t>
            </w:r>
            <w:r/>
          </w:p>
          <w:p>
            <w:pPr>
              <w:jc w:val="left"/>
              <w:rPr>
                <w:rFonts w:ascii="宋体" w:hAnsi="宋体" w:cs="宋体"/>
                <w:sz w:val="21"/>
                <w:szCs w:val="21"/>
              </w:rPr>
            </w:pPr>
            <w:r>
              <w:rPr>
                <w:rFonts w:hint="eastAsia" w:ascii="宋体" w:hAnsi="宋体" w:cs="宋体"/>
                <w:sz w:val="21"/>
                <w:szCs w:val="21"/>
              </w:rPr>
              <w:t xml:space="preserve">3.售后服务方案简单空洞，针对性一般，整体思路一般，可操作性差的得2 分。</w:t>
            </w:r>
            <w:r/>
          </w:p>
          <w:p>
            <w:pPr>
              <w:jc w:val="left"/>
              <w:rPr>
                <w:rFonts w:ascii="宋体" w:hAnsi="宋体" w:cs="宋体"/>
                <w:sz w:val="21"/>
                <w:szCs w:val="21"/>
              </w:rPr>
            </w:pPr>
            <w:r>
              <w:rPr>
                <w:rFonts w:hint="eastAsia" w:ascii="宋体" w:hAnsi="宋体" w:cs="宋体"/>
                <w:sz w:val="21"/>
                <w:szCs w:val="21"/>
              </w:rPr>
              <w:t xml:space="preserve">4.未提供方案得0分。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10</w:t>
            </w:r>
            <w:r/>
          </w:p>
        </w:tc>
      </w:tr>
    </w:tbl>
    <w:p>
      <w:r/>
      <w:r/>
    </w:p>
    <w:p>
      <w:pPr>
        <w:jc w:val="left"/>
        <w:spacing w:line="500" w:lineRule="exact"/>
        <w:rPr>
          <w:rFonts w:ascii="宋体" w:hAnsi="宋体" w:cs="宋体"/>
          <w:sz w:val="32"/>
          <w:szCs w:val="32"/>
        </w:rPr>
      </w:pPr>
      <w:r>
        <w:rPr>
          <w:rFonts w:hint="eastAsia" w:ascii="宋体" w:hAnsi="宋体" w:cs="宋体"/>
          <w:sz w:val="32"/>
          <w:szCs w:val="32"/>
        </w:rPr>
        <w:t xml:space="preserve">1.资格审查</w:t>
      </w:r>
      <w:r/>
    </w:p>
    <w:p>
      <w:pPr>
        <w:pStyle w:val="734"/>
        <w:spacing w:line="500" w:lineRule="exact"/>
        <w:rPr>
          <w:rFonts w:ascii="宋体" w:hAnsi="宋体" w:cs="宋体"/>
          <w:sz w:val="28"/>
          <w:szCs w:val="28"/>
        </w:rPr>
      </w:pPr>
      <w:r>
        <w:rPr>
          <w:rFonts w:hint="eastAsia" w:ascii="宋体" w:hAnsi="宋体" w:cs="宋体"/>
          <w:sz w:val="28"/>
          <w:szCs w:val="28"/>
        </w:rPr>
        <w:t xml:space="preserve">1.1项目开标结束后，招标人对投标人的资格进行审查。</w:t>
      </w:r>
      <w:r/>
    </w:p>
    <w:p>
      <w:pPr>
        <w:pStyle w:val="734"/>
        <w:spacing w:line="500" w:lineRule="exact"/>
        <w:rPr>
          <w:rFonts w:ascii="宋体" w:hAnsi="宋体" w:cs="宋体"/>
          <w:sz w:val="28"/>
          <w:szCs w:val="28"/>
        </w:rPr>
      </w:pPr>
      <w:r>
        <w:rPr>
          <w:rFonts w:hint="eastAsia" w:ascii="宋体" w:hAnsi="宋体" w:cs="宋体"/>
          <w:sz w:val="28"/>
          <w:szCs w:val="28"/>
        </w:rPr>
        <w:t xml:space="preserve">1.2资格审查的内容和标准：见资格审查和评标办法前附表。</w:t>
      </w:r>
      <w:r/>
    </w:p>
    <w:p>
      <w:pPr>
        <w:jc w:val="left"/>
        <w:spacing w:line="500" w:lineRule="exact"/>
        <w:rPr>
          <w:rFonts w:ascii="宋体" w:hAnsi="宋体" w:cs="宋体"/>
          <w:sz w:val="32"/>
          <w:szCs w:val="32"/>
        </w:rPr>
      </w:pPr>
      <w:r>
        <w:rPr>
          <w:rFonts w:hint="eastAsia" w:ascii="宋体" w:hAnsi="宋体" w:cs="宋体"/>
          <w:sz w:val="32"/>
          <w:szCs w:val="32"/>
        </w:rPr>
        <w:t xml:space="preserve">2.评标</w:t>
      </w:r>
      <w:bookmarkEnd w:id="236"/>
      <w:r/>
      <w:r/>
    </w:p>
    <w:p>
      <w:pPr>
        <w:spacing w:line="500" w:lineRule="exact"/>
        <w:rPr>
          <w:rFonts w:ascii="宋体" w:hAnsi="宋体" w:cs="宋体"/>
          <w:b/>
          <w:sz w:val="28"/>
          <w:szCs w:val="28"/>
        </w:rPr>
      </w:pPr>
      <w:r>
        <w:rPr>
          <w:rFonts w:hint="eastAsia" w:ascii="宋体" w:hAnsi="宋体" w:cs="宋体"/>
          <w:b/>
          <w:sz w:val="28"/>
          <w:szCs w:val="28"/>
        </w:rPr>
        <w:t xml:space="preserve">2.1评标方法</w:t>
      </w:r>
      <w:r/>
    </w:p>
    <w:p>
      <w:pPr>
        <w:ind w:firstLine="560"/>
        <w:spacing w:line="500" w:lineRule="exact"/>
        <w:rPr>
          <w:rFonts w:ascii="宋体" w:hAnsi="宋体" w:cs="宋体"/>
          <w:sz w:val="28"/>
          <w:szCs w:val="28"/>
        </w:rPr>
      </w:pPr>
      <w:r>
        <w:rPr>
          <w:rFonts w:hint="eastAsia" w:ascii="宋体" w:hAnsi="宋体" w:cs="宋体"/>
          <w:sz w:val="28"/>
          <w:szCs w:val="28"/>
        </w:rPr>
        <w:t xml:space="preserve">评标采用综合评分法，评标委员会对满足招标文件实质要求的投标文件，按照本章规定的程序和方法进行评审，并按总得分由高到低顺序推荐中标候选人。</w:t>
      </w:r>
      <w:r/>
    </w:p>
    <w:p>
      <w:pPr>
        <w:ind w:firstLine="560"/>
        <w:spacing w:line="500" w:lineRule="exact"/>
        <w:rPr>
          <w:rFonts w:ascii="宋体" w:hAnsi="宋体" w:cs="宋体"/>
          <w:sz w:val="28"/>
          <w:szCs w:val="28"/>
        </w:rPr>
      </w:pPr>
      <w:r>
        <w:rPr>
          <w:rFonts w:hint="eastAsia" w:ascii="宋体" w:hAnsi="宋体" w:cs="宋体"/>
          <w:sz w:val="28"/>
          <w:szCs w:val="28"/>
        </w:rPr>
        <w:t xml:space="preserve">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ascii="宋体" w:hAnsi="宋体" w:cs="宋体"/>
          <w:sz w:val="28"/>
          <w:szCs w:val="28"/>
        </w:rPr>
      </w:pPr>
      <w:r>
        <w:rPr>
          <w:rFonts w:hint="eastAsia" w:ascii="宋体" w:hAnsi="宋体" w:cs="宋体"/>
          <w:sz w:val="28"/>
          <w:szCs w:val="28"/>
        </w:rPr>
        <w:t xml:space="preserve">采购人将对第一中标候选人提交的所有资料（含原件）进行考察、核实，若发现弄虚作假的，取消中标资格，并进行公示等相关处罚。</w:t>
      </w:r>
      <w:r/>
    </w:p>
    <w:p>
      <w:pPr>
        <w:spacing w:line="500" w:lineRule="exact"/>
        <w:rPr>
          <w:rFonts w:ascii="宋体" w:hAnsi="宋体" w:cs="宋体"/>
          <w:b/>
          <w:sz w:val="28"/>
          <w:szCs w:val="28"/>
        </w:rPr>
      </w:pPr>
      <w:r>
        <w:rPr>
          <w:rFonts w:hint="eastAsia" w:ascii="宋体" w:hAnsi="宋体" w:cs="宋体"/>
          <w:b/>
          <w:sz w:val="28"/>
          <w:szCs w:val="28"/>
        </w:rPr>
        <w:t xml:space="preserve">2.2初步评审</w:t>
      </w:r>
      <w:r/>
    </w:p>
    <w:p>
      <w:pPr>
        <w:ind w:firstLine="560"/>
        <w:spacing w:line="500" w:lineRule="exact"/>
        <w:rPr>
          <w:rFonts w:ascii="宋体" w:hAnsi="宋体" w:cs="宋体"/>
          <w:sz w:val="28"/>
          <w:szCs w:val="28"/>
        </w:rPr>
      </w:pPr>
      <w:r>
        <w:rPr>
          <w:rFonts w:hint="eastAsia" w:ascii="宋体" w:hAnsi="宋体" w:cs="宋体"/>
          <w:sz w:val="28"/>
          <w:szCs w:val="28"/>
        </w:rPr>
        <w:t xml:space="preserve">2.2.1评标委员会对通过资格审查的投标人进行初步评审。</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2.2.2初步评审的内容为投标文件的符合性评审。符合性评审的内容及标准：见资格审查和评标办法前附表。</w:t>
      </w:r>
      <w:r/>
    </w:p>
    <w:p>
      <w:pPr>
        <w:pStyle w:val="734"/>
        <w:spacing w:line="500" w:lineRule="exact"/>
        <w:rPr>
          <w:rFonts w:ascii="宋体" w:hAnsi="宋体" w:cs="宋体"/>
          <w:b/>
          <w:sz w:val="28"/>
          <w:szCs w:val="28"/>
        </w:rPr>
      </w:pPr>
      <w:r>
        <w:rPr>
          <w:rFonts w:hint="eastAsia" w:ascii="宋体" w:hAnsi="宋体" w:cs="宋体"/>
          <w:b/>
          <w:sz w:val="28"/>
          <w:szCs w:val="28"/>
        </w:rPr>
        <w:t xml:space="preserve">2.3详细评审</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2.3.1评标委员会对通过初步评审的投标人进行详细评审。</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2.3.2详细评审的内容及标准：见资格审查和评标办法前附表。</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2.3.3因落实政府采购政策进行价格调整的，以调整后的价格计算评标基准价和投标报价。</w:t>
      </w:r>
      <w:r/>
    </w:p>
    <w:p>
      <w:pPr>
        <w:spacing w:line="500" w:lineRule="exact"/>
        <w:rPr>
          <w:rFonts w:ascii="宋体" w:hAnsi="宋体" w:cs="宋体"/>
          <w:b/>
          <w:sz w:val="28"/>
          <w:szCs w:val="28"/>
        </w:rPr>
      </w:pPr>
      <w:r/>
      <w:bookmarkStart w:id="237" w:name="_Toc426469924"/>
      <w:r>
        <w:rPr>
          <w:rFonts w:hint="eastAsia" w:ascii="宋体" w:hAnsi="宋体" w:cs="宋体"/>
          <w:b/>
          <w:sz w:val="28"/>
          <w:szCs w:val="28"/>
        </w:rPr>
        <w:t xml:space="preserve">2.4评标报告</w:t>
      </w:r>
      <w:r/>
    </w:p>
    <w:p>
      <w:pPr>
        <w:ind w:firstLine="560"/>
        <w:spacing w:line="500" w:lineRule="exact"/>
        <w:rPr>
          <w:rFonts w:ascii="宋体" w:hAnsi="宋体" w:cs="宋体"/>
          <w:sz w:val="28"/>
          <w:szCs w:val="28"/>
        </w:rPr>
      </w:pPr>
      <w:r>
        <w:rPr>
          <w:rFonts w:hint="eastAsia" w:ascii="宋体" w:hAnsi="宋体" w:cs="宋体"/>
          <w:sz w:val="28"/>
          <w:szCs w:val="28"/>
        </w:rPr>
        <w:t xml:space="preserve">2.4.1详细评审结束后，评标委员会负责编写评标报告。</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2.4.2采购代理机构自评审结束之日起2个工作日内将评标报告送交招标人。</w:t>
      </w:r>
      <w:r/>
    </w:p>
    <w:p>
      <w:pPr>
        <w:spacing w:line="500" w:lineRule="exact"/>
        <w:rPr>
          <w:rFonts w:ascii="宋体" w:hAnsi="宋体" w:cs="宋体"/>
          <w:b/>
          <w:sz w:val="28"/>
          <w:szCs w:val="28"/>
        </w:rPr>
      </w:pPr>
      <w:r>
        <w:rPr>
          <w:rFonts w:hint="eastAsia" w:ascii="宋体" w:hAnsi="宋体" w:cs="宋体"/>
          <w:b/>
          <w:sz w:val="28"/>
          <w:szCs w:val="28"/>
        </w:rPr>
        <w:t xml:space="preserve">2.5澄清、说明或补正</w:t>
      </w:r>
      <w:r/>
    </w:p>
    <w:p>
      <w:pPr>
        <w:ind w:firstLine="560"/>
        <w:spacing w:line="500" w:lineRule="exact"/>
        <w:rPr>
          <w:rFonts w:ascii="宋体" w:hAnsi="宋体" w:cs="宋体"/>
          <w:sz w:val="28"/>
          <w:szCs w:val="28"/>
        </w:rPr>
      </w:pPr>
      <w:r>
        <w:rPr>
          <w:rFonts w:hint="eastAsia" w:ascii="宋体" w:hAnsi="宋体" w:cs="宋体"/>
          <w:sz w:val="28"/>
          <w:szCs w:val="28"/>
        </w:rPr>
        <w:t xml:space="preserve">2.5.1评标委员会在评审过程中，可以要求投标人对投标文件中含义不明确、同类问题表述不一致或者有明显文字和计算错误的内容等作出必要的澄清、说明或者更正。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cs="宋体"/>
          <w:sz w:val="28"/>
          <w:szCs w:val="28"/>
        </w:rPr>
      </w:pPr>
      <w:r>
        <w:rPr>
          <w:rFonts w:hint="eastAsia" w:ascii="宋体" w:hAnsi="宋体" w:cs="宋体"/>
          <w:sz w:val="28"/>
          <w:szCs w:val="28"/>
        </w:rPr>
        <w:t xml:space="preserve">2.5.2评标委员会要求投标人澄清、说明或者更正投标文件应当以书面形式作出。</w:t>
      </w:r>
      <w:r/>
    </w:p>
    <w:p>
      <w:pPr>
        <w:ind w:firstLine="560"/>
        <w:spacing w:line="500" w:lineRule="exact"/>
        <w:rPr>
          <w:rFonts w:ascii="宋体" w:hAnsi="宋体" w:cs="宋体"/>
          <w:sz w:val="28"/>
          <w:szCs w:val="28"/>
        </w:rPr>
      </w:pPr>
      <w:r>
        <w:rPr>
          <w:rFonts w:hint="eastAsia" w:ascii="宋体" w:hAnsi="宋体" w:cs="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cs="宋体"/>
          <w:sz w:val="28"/>
          <w:szCs w:val="28"/>
        </w:rPr>
      </w:pPr>
      <w:r>
        <w:rPr>
          <w:rFonts w:hint="eastAsia" w:ascii="宋体" w:hAnsi="宋体" w:cs="宋体"/>
          <w:sz w:val="28"/>
          <w:szCs w:val="28"/>
        </w:rPr>
        <w:t xml:space="preserve">2.5.4投标人的澄清、说明或者更正不得超出投标文件的范围或者改变投标文件的实质性内容。</w:t>
      </w:r>
      <w:r/>
    </w:p>
    <w:p>
      <w:pPr>
        <w:ind w:firstLine="560"/>
        <w:spacing w:line="500" w:lineRule="exact"/>
        <w:rPr>
          <w:rFonts w:ascii="宋体" w:hAnsi="宋体" w:cs="宋体"/>
          <w:sz w:val="28"/>
          <w:szCs w:val="28"/>
        </w:rPr>
      </w:pPr>
      <w:r>
        <w:rPr>
          <w:rFonts w:hint="eastAsia" w:ascii="宋体" w:hAnsi="宋体" w:cs="宋体"/>
          <w:sz w:val="28"/>
          <w:szCs w:val="28"/>
        </w:rPr>
        <w:t xml:space="preserve">2.5.5评标委员会不得接受投标人主动提出的澄清、说明或补正。</w:t>
      </w:r>
      <w:r/>
    </w:p>
    <w:p>
      <w:pPr>
        <w:spacing w:line="500" w:lineRule="exact"/>
        <w:rPr>
          <w:rFonts w:ascii="宋体" w:hAnsi="宋体" w:cs="宋体"/>
          <w:b/>
          <w:sz w:val="28"/>
          <w:szCs w:val="28"/>
        </w:rPr>
      </w:pPr>
      <w:r>
        <w:rPr>
          <w:rFonts w:hint="eastAsia" w:ascii="宋体" w:hAnsi="宋体" w:cs="宋体"/>
          <w:b/>
          <w:sz w:val="28"/>
          <w:szCs w:val="28"/>
        </w:rPr>
        <w:t xml:space="preserve">3.评标过程中特殊情况的处理规定</w:t>
      </w:r>
      <w:r/>
    </w:p>
    <w:p>
      <w:pPr>
        <w:pStyle w:val="734"/>
        <w:spacing w:line="500" w:lineRule="exact"/>
        <w:rPr>
          <w:rFonts w:ascii="宋体" w:hAnsi="宋体" w:cs="宋体"/>
          <w:b/>
          <w:sz w:val="28"/>
          <w:szCs w:val="28"/>
        </w:rPr>
      </w:pPr>
      <w:r>
        <w:rPr>
          <w:rFonts w:hint="eastAsia" w:ascii="宋体" w:hAnsi="宋体" w:cs="宋体"/>
          <w:b/>
          <w:sz w:val="28"/>
          <w:szCs w:val="28"/>
        </w:rPr>
        <w:t xml:space="preserve">3.1投标报价的修正</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投标文件报价出现前后不一致的，按照下列规定修正：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（2）大写金额和小写金额不一致的，以大写金额为准；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（4）总价金额与按单价汇总金额不一致的，以单价金额计算结果为准。 </w:t>
      </w:r>
      <w:r/>
    </w:p>
    <w:p>
      <w:pPr>
        <w:pStyle w:val="734"/>
        <w:ind w:firstLine="560"/>
        <w:spacing w:line="440" w:lineRule="exact"/>
        <w:rPr>
          <w:rFonts w:ascii="宋体" w:hAnsi="宋体" w:cs="宋体"/>
          <w:sz w:val="28"/>
          <w:szCs w:val="28"/>
        </w:rPr>
      </w:pPr>
      <w:r>
        <w:rPr>
          <w:rFonts w:hint="eastAsia" w:ascii="宋体" w:hAnsi="宋体" w:cs="宋体"/>
          <w:sz w:val="28"/>
          <w:szCs w:val="28"/>
        </w:rPr>
        <w:t xml:space="preserve">同时出现两种以上不一致的，按照前款规定的顺序修正。修正后的报价按照本章第2.5条的规定经投标人确认后产生约束力，投标人不确认的，其投标无效。</w:t>
      </w:r>
      <w:r/>
    </w:p>
    <w:p>
      <w:pPr>
        <w:pStyle w:val="734"/>
        <w:spacing w:line="500" w:lineRule="exact"/>
        <w:rPr>
          <w:rFonts w:ascii="宋体" w:hAnsi="宋体" w:cs="宋体"/>
          <w:b/>
          <w:sz w:val="28"/>
          <w:szCs w:val="28"/>
        </w:rPr>
      </w:pPr>
      <w:r>
        <w:rPr>
          <w:rFonts w:hint="eastAsia" w:ascii="宋体" w:hAnsi="宋体" w:cs="宋体"/>
          <w:b/>
          <w:sz w:val="28"/>
          <w:szCs w:val="28"/>
        </w:rPr>
        <w:t xml:space="preserve">3.2评标委员会成员的更换</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734"/>
        <w:spacing w:line="500" w:lineRule="exact"/>
        <w:rPr>
          <w:rFonts w:ascii="宋体" w:hAnsi="宋体" w:cs="宋体"/>
          <w:b/>
          <w:sz w:val="28"/>
          <w:szCs w:val="28"/>
        </w:rPr>
      </w:pPr>
      <w:r>
        <w:rPr>
          <w:rFonts w:hint="eastAsia" w:ascii="宋体" w:hAnsi="宋体" w:cs="宋体"/>
          <w:b/>
          <w:sz w:val="28"/>
          <w:szCs w:val="28"/>
        </w:rPr>
        <w:t xml:space="preserve">3.3异常低价审查规定</w:t>
      </w:r>
      <w:r/>
    </w:p>
    <w:p>
      <w:pPr>
        <w:ind w:firstLine="478"/>
        <w:spacing w:line="500" w:lineRule="exact"/>
        <w:rPr>
          <w:sz w:val="28"/>
          <w:szCs w:val="28"/>
        </w:rPr>
      </w:pPr>
      <w:r>
        <w:rPr>
          <w:rFonts w:hint="eastAsia"/>
          <w:sz w:val="28"/>
          <w:szCs w:val="28"/>
        </w:rPr>
        <w:t xml:space="preserve">（1）评审过程中出现下列情形之一的，评审委员会应当启动异常低价投标（响应）审查程序： </w:t>
      </w:r>
      <w:r/>
    </w:p>
    <w:p>
      <w:pPr>
        <w:ind w:firstLine="560"/>
        <w:spacing w:line="500" w:lineRule="exact"/>
        <w:rPr>
          <w:sz w:val="28"/>
          <w:szCs w:val="28"/>
        </w:rPr>
      </w:pPr>
      <w:r>
        <w:rPr>
          <w:rFonts w:hint="eastAsia"/>
          <w:sz w:val="28"/>
          <w:szCs w:val="28"/>
        </w:rPr>
        <w:t xml:space="preserve">①投标（响应）报价低于采购项目预算50%的，即投标（响应）报价&lt;采购项目预算×50% ； </w:t>
      </w:r>
      <w:r/>
    </w:p>
    <w:p>
      <w:pPr>
        <w:ind w:firstLine="560"/>
        <w:spacing w:line="500" w:lineRule="exact"/>
        <w:rPr>
          <w:sz w:val="28"/>
          <w:szCs w:val="28"/>
        </w:rPr>
      </w:pPr>
      <w:r>
        <w:rPr>
          <w:rFonts w:hint="eastAsia"/>
          <w:sz w:val="28"/>
          <w:szCs w:val="28"/>
        </w:rPr>
        <w:t xml:space="preserve">②投标（响应）报价低于采购项目最高限价45%的，即投标（响应）报价&lt;采购项目最高限价×45% ； </w:t>
      </w:r>
      <w:r/>
    </w:p>
    <w:p>
      <w:pPr>
        <w:ind w:firstLine="560"/>
        <w:spacing w:line="500" w:lineRule="exact"/>
        <w:rPr>
          <w:sz w:val="28"/>
          <w:szCs w:val="28"/>
        </w:rPr>
      </w:pPr>
      <w:r>
        <w:rPr>
          <w:rFonts w:hint="eastAsia"/>
          <w:sz w:val="28"/>
          <w:szCs w:val="28"/>
        </w:rPr>
        <w:t xml:space="preserve">③评审委员会认定的供应商报价过低、有可能影响产品质量或者不能诚信履约的其他情形。 </w:t>
      </w:r>
      <w:r/>
    </w:p>
    <w:p>
      <w:pPr>
        <w:ind w:firstLine="560"/>
        <w:spacing w:line="500" w:lineRule="exact"/>
        <w:rPr>
          <w:rFonts w:ascii="宋体" w:hAnsi="宋体" w:cs="宋体"/>
          <w:sz w:val="28"/>
          <w:szCs w:val="28"/>
        </w:rPr>
      </w:pPr>
      <w:r>
        <w:rPr>
          <w:rFonts w:hint="eastAsia" w:ascii="宋体" w:hAnsi="宋体" w:cs="宋体"/>
          <w:sz w:val="28"/>
          <w:szCs w:val="28"/>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p>
    <w:p>
      <w:pPr>
        <w:pStyle w:val="734"/>
        <w:spacing w:line="500" w:lineRule="exact"/>
        <w:rPr>
          <w:rFonts w:ascii="宋体" w:hAnsi="宋体" w:cs="宋体"/>
          <w:b/>
          <w:sz w:val="28"/>
          <w:szCs w:val="28"/>
        </w:rPr>
      </w:pPr>
      <w:r>
        <w:rPr>
          <w:rFonts w:hint="eastAsia" w:ascii="宋体" w:hAnsi="宋体" w:cs="宋体"/>
          <w:b/>
          <w:sz w:val="28"/>
          <w:szCs w:val="28"/>
        </w:rPr>
        <w:t xml:space="preserve">3.4争议解决</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宋体" w:hAnsi="宋体" w:cs="宋体"/>
          <w:b/>
          <w:sz w:val="28"/>
          <w:szCs w:val="28"/>
        </w:rPr>
      </w:pPr>
      <w:r>
        <w:rPr>
          <w:rFonts w:hint="eastAsia" w:ascii="宋体" w:hAnsi="宋体" w:cs="宋体"/>
          <w:b/>
          <w:sz w:val="28"/>
          <w:szCs w:val="28"/>
        </w:rPr>
        <w:t xml:space="preserve">3.5评标终止</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宋体" w:hAnsi="宋体" w:cs="宋体"/>
          <w:b/>
          <w:sz w:val="28"/>
          <w:szCs w:val="28"/>
        </w:rPr>
      </w:pPr>
      <w:r>
        <w:rPr>
          <w:rFonts w:hint="eastAsia" w:ascii="宋体" w:hAnsi="宋体" w:cs="宋体"/>
          <w:b/>
          <w:sz w:val="28"/>
          <w:szCs w:val="28"/>
        </w:rPr>
        <w:t xml:space="preserve">3.6修改评标结果</w:t>
      </w:r>
      <w:r/>
    </w:p>
    <w:p>
      <w:pPr>
        <w:ind w:firstLine="560"/>
        <w:spacing w:line="500" w:lineRule="exact"/>
        <w:rPr>
          <w:rFonts w:ascii="宋体" w:hAnsi="宋体" w:cs="宋体"/>
          <w:sz w:val="28"/>
          <w:szCs w:val="28"/>
        </w:rPr>
      </w:pPr>
      <w:r>
        <w:rPr>
          <w:rFonts w:hint="eastAsia" w:ascii="宋体" w:hAnsi="宋体" w:cs="宋体"/>
          <w:sz w:val="28"/>
          <w:szCs w:val="28"/>
        </w:rPr>
        <w:t xml:space="preserve">评审组长负责汇总和核对各评标委员会成员的评审结果。在评标报告签署前，出现下列情形之一的，可以要求其当场修改评审结果：</w:t>
      </w:r>
      <w:r/>
    </w:p>
    <w:p>
      <w:pPr>
        <w:ind w:firstLine="560"/>
        <w:spacing w:line="500" w:lineRule="exact"/>
        <w:rPr>
          <w:rFonts w:ascii="宋体" w:hAnsi="宋体" w:cs="宋体"/>
          <w:sz w:val="28"/>
          <w:szCs w:val="28"/>
        </w:rPr>
      </w:pPr>
      <w:r>
        <w:rPr>
          <w:rFonts w:hint="eastAsia" w:ascii="宋体" w:hAnsi="宋体" w:cs="宋体"/>
          <w:sz w:val="28"/>
          <w:szCs w:val="28"/>
        </w:rPr>
        <w:t xml:space="preserve">（1）分值汇总计算错误；</w:t>
      </w:r>
      <w:r/>
    </w:p>
    <w:p>
      <w:pPr>
        <w:ind w:firstLine="560"/>
        <w:spacing w:line="500" w:lineRule="exact"/>
        <w:rPr>
          <w:rFonts w:ascii="宋体" w:hAnsi="宋体" w:cs="宋体"/>
          <w:sz w:val="28"/>
          <w:szCs w:val="28"/>
        </w:rPr>
      </w:pPr>
      <w:r>
        <w:rPr>
          <w:rFonts w:hint="eastAsia" w:ascii="宋体" w:hAnsi="宋体" w:cs="宋体"/>
          <w:sz w:val="28"/>
          <w:szCs w:val="28"/>
        </w:rPr>
        <w:t xml:space="preserve">（2）分项评分超出评分标准范围；</w:t>
      </w:r>
      <w:r/>
    </w:p>
    <w:p>
      <w:pPr>
        <w:ind w:firstLine="560"/>
        <w:spacing w:line="500" w:lineRule="exact"/>
        <w:rPr>
          <w:rFonts w:ascii="宋体" w:hAnsi="宋体" w:cs="宋体"/>
          <w:sz w:val="28"/>
          <w:szCs w:val="28"/>
        </w:rPr>
      </w:pPr>
      <w:r>
        <w:rPr>
          <w:rFonts w:hint="eastAsia" w:ascii="宋体" w:hAnsi="宋体" w:cs="宋体"/>
          <w:sz w:val="28"/>
          <w:szCs w:val="28"/>
        </w:rPr>
        <w:t xml:space="preserve">（3）评标委员会成员对客观评审因素评分不一致；</w:t>
      </w:r>
      <w:r/>
    </w:p>
    <w:p>
      <w:pPr>
        <w:pStyle w:val="734"/>
        <w:ind w:firstLine="560"/>
        <w:spacing w:line="500" w:lineRule="exact"/>
        <w:rPr>
          <w:rFonts w:ascii="宋体" w:hAnsi="宋体" w:cs="宋体"/>
        </w:rPr>
      </w:pPr>
      <w:r>
        <w:rPr>
          <w:rFonts w:hint="eastAsia" w:ascii="宋体" w:hAnsi="宋体" w:cs="宋体"/>
          <w:sz w:val="28"/>
          <w:szCs w:val="28"/>
        </w:rPr>
        <w:t xml:space="preserve">（4）经评标委员会认定评分畸高或畸低。</w:t>
      </w:r>
      <w:r/>
    </w:p>
    <w:p>
      <w:pPr>
        <w:pStyle w:val="734"/>
        <w:spacing w:line="500" w:lineRule="exact"/>
        <w:rPr>
          <w:rFonts w:ascii="宋体" w:hAnsi="宋体" w:cs="宋体"/>
          <w:b/>
          <w:sz w:val="28"/>
          <w:szCs w:val="28"/>
        </w:rPr>
      </w:pPr>
      <w:r>
        <w:rPr>
          <w:rFonts w:hint="eastAsia" w:ascii="宋体" w:hAnsi="宋体" w:cs="宋体"/>
          <w:b/>
          <w:sz w:val="28"/>
          <w:szCs w:val="28"/>
        </w:rPr>
        <w:t xml:space="preserve">3.7 投标人总分相同</w:t>
      </w:r>
      <w:r/>
    </w:p>
    <w:p>
      <w:pPr>
        <w:ind w:firstLine="560"/>
        <w:spacing w:line="500" w:lineRule="exact"/>
        <w:rPr>
          <w:rFonts w:ascii="宋体" w:hAnsi="宋体" w:cs="宋体"/>
          <w:sz w:val="28"/>
          <w:szCs w:val="28"/>
        </w:rPr>
      </w:pPr>
      <w:r>
        <w:rPr>
          <w:rFonts w:hint="eastAsia" w:ascii="宋体" w:hAnsi="宋体" w:cs="宋体"/>
          <w:sz w:val="28"/>
          <w:szCs w:val="28"/>
        </w:rPr>
        <w:t xml:space="preserve">投标人总分相同时，投标报价低的排名优先；如投标报价也相同，由招标人抽签确定排序。</w:t>
      </w:r>
      <w:r/>
    </w:p>
    <w:p>
      <w:pPr>
        <w:pStyle w:val="734"/>
        <w:spacing w:line="500" w:lineRule="exact"/>
        <w:rPr>
          <w:rFonts w:ascii="宋体" w:hAnsi="宋体" w:cs="宋体"/>
          <w:b/>
          <w:sz w:val="28"/>
          <w:szCs w:val="28"/>
        </w:rPr>
      </w:pPr>
      <w:r>
        <w:rPr>
          <w:rFonts w:hint="eastAsia" w:ascii="宋体" w:hAnsi="宋体" w:cs="宋体"/>
          <w:b/>
          <w:sz w:val="28"/>
          <w:szCs w:val="28"/>
        </w:rPr>
        <w:t xml:space="preserve">3.8评标报告签署</w:t>
      </w:r>
      <w:r/>
    </w:p>
    <w:p>
      <w:pPr>
        <w:ind w:firstLine="560"/>
        <w:spacing w:line="500" w:lineRule="exact"/>
        <w:rPr>
          <w:rFonts w:ascii="宋体" w:hAnsi="宋体" w:cs="宋体"/>
          <w:sz w:val="28"/>
          <w:szCs w:val="28"/>
        </w:rPr>
      </w:pPr>
      <w:r>
        <w:rPr>
          <w:rFonts w:hint="eastAsia" w:ascii="宋体" w:hAnsi="宋体" w:cs="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34"/>
        <w:spacing w:line="500" w:lineRule="exact"/>
        <w:rPr>
          <w:rFonts w:ascii="宋体" w:hAnsi="宋体" w:cs="宋体"/>
          <w:b/>
          <w:sz w:val="28"/>
          <w:szCs w:val="28"/>
        </w:rPr>
      </w:pPr>
      <w:r>
        <w:rPr>
          <w:rFonts w:hint="eastAsia" w:ascii="宋体" w:hAnsi="宋体" w:cs="宋体"/>
          <w:b/>
          <w:sz w:val="28"/>
          <w:szCs w:val="28"/>
        </w:rPr>
        <w:t xml:space="preserve">4.判定无效投标的规定</w:t>
      </w:r>
      <w:r/>
    </w:p>
    <w:p>
      <w:pPr>
        <w:pStyle w:val="734"/>
        <w:spacing w:line="500" w:lineRule="exact"/>
        <w:rPr>
          <w:rFonts w:ascii="宋体" w:hAnsi="宋体" w:cs="宋体"/>
          <w:b/>
          <w:sz w:val="28"/>
          <w:szCs w:val="28"/>
        </w:rPr>
      </w:pPr>
      <w:r>
        <w:rPr>
          <w:rFonts w:hint="eastAsia" w:ascii="宋体" w:hAnsi="宋体" w:cs="宋体"/>
          <w:b/>
          <w:sz w:val="28"/>
          <w:szCs w:val="28"/>
        </w:rPr>
        <w:t xml:space="preserve">4.1开标过程中，有下列情形之一的，作无效投标处理。</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（1）投标文件无法解密；</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（2）投标文件未在规定的时间内解密成功。</w:t>
      </w:r>
      <w:r/>
    </w:p>
    <w:p>
      <w:pPr>
        <w:pStyle w:val="734"/>
        <w:spacing w:after="0" w:line="500" w:lineRule="exact"/>
        <w:rPr>
          <w:rFonts w:ascii="宋体" w:hAnsi="宋体" w:cs="宋体"/>
          <w:b/>
          <w:spacing w:val="-14"/>
          <w:sz w:val="28"/>
          <w:szCs w:val="28"/>
        </w:rPr>
      </w:pPr>
      <w:r>
        <w:rPr>
          <w:rFonts w:hint="eastAsia" w:ascii="宋体" w:hAnsi="宋体" w:cs="宋体"/>
          <w:b/>
          <w:sz w:val="28"/>
          <w:szCs w:val="28"/>
        </w:rPr>
        <w:t xml:space="preserve">4.2资格审查过程中，</w:t>
      </w:r>
      <w:r>
        <w:rPr>
          <w:rFonts w:hint="eastAsia" w:ascii="宋体" w:hAnsi="宋体" w:cs="宋体"/>
          <w:b/>
          <w:spacing w:val="-14"/>
          <w:sz w:val="28"/>
          <w:szCs w:val="28"/>
        </w:rPr>
        <w:t xml:space="preserve">投标文件出现不符合1.2项评审标准之一的，作无效标处理。</w:t>
      </w:r>
      <w:r/>
    </w:p>
    <w:p>
      <w:pPr>
        <w:pStyle w:val="734"/>
        <w:spacing w:after="0" w:line="500" w:lineRule="exact"/>
        <w:rPr>
          <w:rFonts w:ascii="宋体" w:hAnsi="宋体" w:cs="宋体"/>
          <w:b/>
          <w:spacing w:val="-14"/>
          <w:sz w:val="28"/>
          <w:szCs w:val="28"/>
        </w:rPr>
      </w:pPr>
      <w:r>
        <w:rPr>
          <w:rFonts w:hint="eastAsia" w:ascii="宋体" w:hAnsi="宋体" w:cs="宋体"/>
          <w:b/>
          <w:spacing w:val="-14"/>
          <w:sz w:val="28"/>
          <w:szCs w:val="28"/>
        </w:rPr>
        <w:t xml:space="preserve">4.3</w:t>
      </w:r>
      <w:r>
        <w:rPr>
          <w:rFonts w:hint="eastAsia" w:ascii="宋体" w:hAnsi="宋体" w:cs="宋体"/>
          <w:b/>
          <w:sz w:val="28"/>
          <w:szCs w:val="28"/>
        </w:rPr>
        <w:t xml:space="preserve">评标过程中，有下列情形之一的，作无效投标处理。</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（1）符合性评审时，投标文件出现不符合2.2.2项评审标准之一的；</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（2）投标人不确认评标委员会提出的投标报价修正意见的；</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（3）未按照评标委员会要求提供书面说明及相关证明材料证明其报价合理性的；</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（4）投标文件含有采购人不能接受的附加条件的。</w:t>
      </w:r>
      <w:r/>
    </w:p>
    <w:p>
      <w:pPr>
        <w:pStyle w:val="734"/>
        <w:spacing w:after="0" w:line="500" w:lineRule="exact"/>
        <w:rPr>
          <w:rFonts w:ascii="宋体" w:hAnsi="宋体" w:cs="宋体"/>
          <w:b/>
          <w:sz w:val="28"/>
          <w:szCs w:val="28"/>
        </w:rPr>
      </w:pPr>
      <w:r>
        <w:rPr>
          <w:rFonts w:hint="eastAsia" w:ascii="宋体" w:hAnsi="宋体" w:cs="宋体"/>
          <w:b/>
          <w:sz w:val="28"/>
          <w:szCs w:val="28"/>
        </w:rPr>
        <w:t xml:space="preserve">4.4法律、法规规定的其他投标无效情形。</w:t>
      </w:r>
      <w:bookmarkEnd w:id="228"/>
      <w:r/>
      <w:bookmarkEnd w:id="229"/>
      <w:r/>
      <w:bookmarkEnd w:id="230"/>
      <w:r/>
      <w:bookmarkEnd w:id="231"/>
      <w:r/>
      <w:bookmarkEnd w:id="232"/>
      <w:r/>
      <w:bookmarkEnd w:id="233"/>
      <w:r/>
      <w:bookmarkEnd w:id="234"/>
      <w:r/>
      <w:bookmarkEnd w:id="235"/>
      <w:r/>
      <w:bookmarkEnd w:id="237"/>
      <w:r/>
      <w:r/>
    </w:p>
    <w:p>
      <w:pPr>
        <w:pStyle w:val="734"/>
      </w:pPr>
      <w:r/>
      <w:r/>
    </w:p>
    <w:p>
      <w:pPr>
        <w:jc w:val="left"/>
        <w:widowControl/>
        <w:rPr>
          <w:rFonts w:ascii="黑体" w:hAnsi="宋体" w:eastAsia="黑体"/>
          <w:b/>
          <w:sz w:val="32"/>
          <w:szCs w:val="20"/>
        </w:rPr>
      </w:pPr>
      <w:r/>
      <w:bookmarkStart w:id="238" w:name="_Toc383623741"/>
      <w:r/>
      <w:bookmarkStart w:id="239" w:name="_Toc425871381"/>
      <w:r/>
      <w:bookmarkStart w:id="240" w:name="_Toc383624013"/>
      <w:r/>
      <w:bookmarkStart w:id="241" w:name="_Toc390098908"/>
      <w:r/>
      <w:bookmarkStart w:id="242" w:name="_Toc390246973"/>
      <w:r/>
      <w:bookmarkStart w:id="243" w:name="_Toc383626062"/>
      <w:r/>
      <w:bookmarkStart w:id="244" w:name="_Toc390099086"/>
      <w:r/>
      <w:bookmarkStart w:id="245" w:name="_Toc383698715"/>
      <w:r/>
      <w:bookmarkStart w:id="246" w:name="_Toc383679815"/>
      <w:r>
        <w:rPr>
          <w:rFonts w:ascii="黑体" w:hAnsi="宋体" w:eastAsia="黑体"/>
          <w:b/>
        </w:rPr>
        <w:br w:type="page" w:clear="all"/>
      </w:r>
      <w:r/>
    </w:p>
    <w:p>
      <w:pPr>
        <w:pStyle w:val="749"/>
        <w:ind w:left="0" w:firstLine="0"/>
        <w:jc w:val="center"/>
        <w:spacing w:line="500" w:lineRule="exact"/>
        <w:rPr>
          <w:rFonts w:ascii="微软雅黑" w:hAnsi="微软雅黑" w:eastAsia="微软雅黑" w:cs="微软雅黑"/>
          <w:b/>
          <w:color w:val="auto"/>
          <w:sz w:val="36"/>
          <w:szCs w:val="36"/>
        </w:rPr>
        <w:outlineLvl w:val="0"/>
      </w:pPr>
      <w:r>
        <w:rPr>
          <w:rFonts w:hint="eastAsia" w:ascii="微软雅黑" w:hAnsi="微软雅黑" w:eastAsia="微软雅黑" w:cs="微软雅黑"/>
          <w:b/>
          <w:color w:val="auto"/>
          <w:sz w:val="36"/>
          <w:szCs w:val="36"/>
        </w:rPr>
        <w:t xml:space="preserve">第四章 合同条款</w:t>
      </w:r>
      <w:bookmarkStart w:id="247" w:name="_Toc288030332"/>
      <w:r/>
      <w:bookmarkStart w:id="248" w:name="_Toc282446296"/>
      <w:r/>
      <w:bookmarkStart w:id="249" w:name="_Toc20823315"/>
      <w:r/>
      <w:bookmarkStart w:id="250" w:name="_Toc382812484"/>
      <w:r/>
      <w:bookmarkStart w:id="251" w:name="_Toc382814014"/>
      <w:r/>
      <w:bookmarkStart w:id="252" w:name="_Toc383587505"/>
      <w:r/>
      <w:bookmarkStart w:id="253" w:name="_Toc382812295"/>
      <w:r/>
      <w:bookmarkStart w:id="254" w:name="_Toc513029243"/>
      <w:r/>
      <w:bookmarkStart w:id="255" w:name="_Toc382813933"/>
      <w:r/>
      <w:bookmarkStart w:id="256" w:name="_Toc382811181"/>
      <w:r/>
      <w:bookmarkStart w:id="257" w:name="_Toc16938559"/>
      <w:r/>
      <w:bookmarkStart w:id="258" w:name="_Toc120614222"/>
      <w:r/>
      <w:bookmarkStart w:id="259" w:name="_Toc382811586"/>
      <w:r/>
      <w:bookmarkStart w:id="260" w:name="_Toc383623992"/>
      <w:r/>
      <w:bookmarkStart w:id="261" w:name="_Toc425871366"/>
      <w:r/>
      <w:bookmarkStart w:id="262" w:name="_Toc383679794"/>
      <w:r/>
      <w:bookmarkStart w:id="263" w:name="_Toc383698694"/>
      <w:r/>
      <w:bookmarkStart w:id="264" w:name="_Toc383626041"/>
      <w:r/>
      <w:bookmarkStart w:id="265" w:name="_Toc390099065"/>
      <w:r/>
      <w:bookmarkStart w:id="266" w:name="_Toc383623720"/>
      <w:r/>
      <w:bookmarkStart w:id="267" w:name="_Toc390098887"/>
      <w:r/>
      <w:bookmarkStart w:id="268" w:name="_Toc390246952"/>
      <w:r/>
      <w:r/>
    </w:p>
    <w:p>
      <w:pPr>
        <w:pStyle w:val="749"/>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749"/>
        <w:ind w:left="0" w:firstLine="0"/>
        <w:spacing w:line="500" w:lineRule="exact"/>
        <w:rPr>
          <w:rFonts w:ascii="宋体" w:hAnsi="宋体" w:eastAsia="宋体" w:cs="宋体"/>
          <w:b/>
          <w:bCs/>
          <w:color w:val="000000"/>
          <w:szCs w:val="28"/>
        </w:rPr>
        <w:outlineLvl w:val="0"/>
      </w:pPr>
      <w:r>
        <w:rPr>
          <w:rFonts w:hint="eastAsia" w:ascii="宋体" w:hAnsi="宋体" w:eastAsia="宋体" w:cs="宋体"/>
          <w:b/>
          <w:bCs/>
          <w:color w:val="000000"/>
          <w:szCs w:val="28"/>
        </w:rPr>
        <w:t xml:space="preserve">一、通用合同条款</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hint="eastAsia" w:ascii="宋体" w:hAnsi="宋体" w:eastAsia="宋体" w:cs="宋体"/>
          <w:b/>
          <w:bCs/>
          <w:color w:val="000000"/>
          <w:szCs w:val="28"/>
        </w:rPr>
        <w:t xml:space="preserve">部分</w:t>
      </w:r>
      <w:bookmarkEnd w:id="260"/>
      <w:r/>
      <w:bookmarkEnd w:id="261"/>
      <w:r/>
      <w:bookmarkEnd w:id="262"/>
      <w:r/>
      <w:bookmarkEnd w:id="263"/>
      <w:r/>
      <w:bookmarkEnd w:id="264"/>
      <w:r/>
      <w:bookmarkEnd w:id="265"/>
      <w:r/>
      <w:bookmarkEnd w:id="266"/>
      <w:r/>
      <w:bookmarkEnd w:id="267"/>
      <w:r/>
      <w:bookmarkEnd w:id="268"/>
      <w:r/>
      <w:r/>
    </w:p>
    <w:p>
      <w:pPr>
        <w:ind w:firstLine="560"/>
        <w:jc w:val="left"/>
        <w:spacing w:line="500" w:lineRule="exact"/>
        <w:rPr>
          <w:rFonts w:ascii="宋体" w:hAnsi="宋体" w:cs="宋体"/>
          <w:sz w:val="28"/>
          <w:szCs w:val="21"/>
        </w:rPr>
      </w:pPr>
      <w:r/>
      <w:bookmarkStart w:id="269" w:name="_Toc382812486"/>
      <w:r/>
      <w:bookmarkStart w:id="270" w:name="_Toc20823317"/>
      <w:r/>
      <w:bookmarkStart w:id="271" w:name="_Toc383698695"/>
      <w:r/>
      <w:bookmarkStart w:id="272" w:name="_Toc383626042"/>
      <w:r/>
      <w:bookmarkStart w:id="273" w:name="_Toc282446298"/>
      <w:r/>
      <w:bookmarkStart w:id="274" w:name="_Toc390098888"/>
      <w:r/>
      <w:bookmarkStart w:id="275" w:name="_Toc390099066"/>
      <w:r/>
      <w:bookmarkStart w:id="276" w:name="_Toc382811588"/>
      <w:r/>
      <w:bookmarkStart w:id="277" w:name="_Toc382811183"/>
      <w:r/>
      <w:bookmarkStart w:id="278" w:name="_Toc382812297"/>
      <w:r/>
      <w:bookmarkStart w:id="279" w:name="_Toc120614224"/>
      <w:r/>
      <w:bookmarkStart w:id="280" w:name="_Toc383679795"/>
      <w:r/>
      <w:bookmarkStart w:id="281" w:name="_Toc383623993"/>
      <w:r/>
      <w:bookmarkStart w:id="282" w:name="_Toc513029245"/>
      <w:r/>
      <w:bookmarkStart w:id="283" w:name="_Toc390246953"/>
      <w:r/>
      <w:bookmarkStart w:id="284" w:name="_Toc383623721"/>
      <w:r/>
      <w:bookmarkStart w:id="285" w:name="_Toc288030334"/>
      <w:r/>
      <w:bookmarkStart w:id="286" w:name="_Toc16938561"/>
      <w:r/>
      <w:bookmarkStart w:id="287" w:name="_Toc425871367"/>
      <w:r/>
      <w:bookmarkStart w:id="288" w:name="_Toc383587507"/>
      <w:r/>
      <w:bookmarkStart w:id="289" w:name="_Toc382813935"/>
      <w:r/>
      <w:bookmarkStart w:id="290" w:name="_Toc382814016"/>
      <w:r>
        <w:rPr>
          <w:rFonts w:hint="eastAsia" w:ascii="宋体" w:hAnsi="宋体" w:cs="宋体"/>
          <w:sz w:val="28"/>
          <w:szCs w:val="21"/>
        </w:rPr>
        <w:t xml:space="preserve">1、定义</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1" w:name="_Toc513029246"/>
      <w:r/>
      <w:bookmarkStart w:id="292" w:name="_Toc120614225"/>
      <w:r/>
      <w:bookmarkStart w:id="293" w:name="_Toc288030335"/>
      <w:r/>
      <w:bookmarkStart w:id="294" w:name="_Toc16938562"/>
      <w:r/>
      <w:bookmarkStart w:id="295" w:name="_Toc282446299"/>
      <w:r/>
      <w:bookmarkStart w:id="296" w:name="_Toc20823318"/>
      <w:r/>
      <w:bookmarkStart w:id="297" w:name="_Toc383626043"/>
      <w:r/>
      <w:bookmarkStart w:id="298" w:name="_Toc382811589"/>
      <w:r/>
      <w:bookmarkStart w:id="299" w:name="_Toc382812487"/>
      <w:r/>
      <w:bookmarkStart w:id="300" w:name="_Toc382811184"/>
      <w:r/>
      <w:bookmarkStart w:id="301" w:name="_Toc425871368"/>
      <w:r/>
      <w:bookmarkStart w:id="302" w:name="_Toc383587508"/>
      <w:r/>
      <w:bookmarkStart w:id="303" w:name="_Toc383679796"/>
      <w:r/>
      <w:bookmarkStart w:id="304" w:name="_Toc383623994"/>
      <w:r/>
      <w:bookmarkStart w:id="305" w:name="_Toc390099067"/>
      <w:r/>
      <w:bookmarkStart w:id="306" w:name="_Toc390098889"/>
      <w:r/>
      <w:bookmarkStart w:id="307" w:name="_Toc383623722"/>
      <w:r/>
      <w:bookmarkStart w:id="308" w:name="_Toc383698696"/>
      <w:r/>
      <w:bookmarkStart w:id="309" w:name="_Toc390246954"/>
      <w:r/>
      <w:bookmarkStart w:id="310" w:name="_Toc382812298"/>
      <w:r/>
      <w:bookmarkStart w:id="311" w:name="_Toc382813936"/>
      <w:r/>
      <w:bookmarkStart w:id="312" w:name="_Toc382814017"/>
      <w:r>
        <w:rPr>
          <w:rFonts w:hint="eastAsia" w:ascii="宋体" w:hAnsi="宋体" w:cs="宋体"/>
          <w:sz w:val="28"/>
          <w:szCs w:val="21"/>
        </w:rPr>
        <w:t xml:space="preserve">2、技术</w:t>
      </w:r>
      <w:bookmarkEnd w:id="291"/>
      <w:r/>
      <w:bookmarkEnd w:id="292"/>
      <w:r/>
      <w:bookmarkEnd w:id="293"/>
      <w:r/>
      <w:bookmarkEnd w:id="294"/>
      <w:r/>
      <w:bookmarkEnd w:id="295"/>
      <w:r/>
      <w:bookmarkEnd w:id="296"/>
      <w:r>
        <w:rPr>
          <w:rFonts w:hint="eastAsia" w:ascii="宋体" w:hAnsi="宋体" w:cs="宋体"/>
          <w:sz w:val="28"/>
          <w:szCs w:val="21"/>
        </w:rPr>
        <w:t xml:space="preserve">规范</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3" w:name="_Toc383623995"/>
      <w:r/>
      <w:bookmarkStart w:id="314" w:name="_Toc288030336"/>
      <w:r/>
      <w:bookmarkStart w:id="315" w:name="_Toc513029247"/>
      <w:r/>
      <w:bookmarkStart w:id="316" w:name="_Toc120614226"/>
      <w:r/>
      <w:bookmarkStart w:id="317" w:name="_Toc390098890"/>
      <w:r/>
      <w:bookmarkStart w:id="318" w:name="_Toc382812488"/>
      <w:r/>
      <w:bookmarkStart w:id="319" w:name="_Toc383679797"/>
      <w:r/>
      <w:bookmarkStart w:id="320" w:name="_Toc382811590"/>
      <w:r/>
      <w:bookmarkStart w:id="321" w:name="_Toc390099068"/>
      <w:r/>
      <w:bookmarkStart w:id="322" w:name="_Toc383623723"/>
      <w:r/>
      <w:bookmarkStart w:id="323" w:name="_Toc383587509"/>
      <w:r/>
      <w:bookmarkStart w:id="324" w:name="_Toc383626044"/>
      <w:r/>
      <w:bookmarkStart w:id="325" w:name="_Toc390246955"/>
      <w:r/>
      <w:bookmarkStart w:id="326" w:name="_Toc383698697"/>
      <w:r/>
      <w:bookmarkStart w:id="327" w:name="_Toc382812299"/>
      <w:r/>
      <w:bookmarkStart w:id="328" w:name="_Toc425871369"/>
      <w:r/>
      <w:bookmarkStart w:id="329" w:name="_Toc382811185"/>
      <w:r/>
      <w:bookmarkStart w:id="330" w:name="_Toc16938563"/>
      <w:r/>
      <w:bookmarkStart w:id="331" w:name="_Toc20823319"/>
      <w:r/>
      <w:bookmarkStart w:id="332" w:name="_Toc382814018"/>
      <w:r/>
      <w:bookmarkStart w:id="333" w:name="_Toc282446300"/>
      <w:r/>
      <w:bookmarkStart w:id="334" w:name="_Toc382813937"/>
      <w:r>
        <w:rPr>
          <w:rFonts w:hint="eastAsia" w:ascii="宋体" w:hAnsi="宋体" w:cs="宋体"/>
          <w:sz w:val="28"/>
          <w:szCs w:val="21"/>
        </w:rPr>
        <w:t xml:space="preserve">3、专利权及版权</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5" w:name="_Toc288030337"/>
      <w:r/>
      <w:bookmarkStart w:id="336" w:name="_Toc282446301"/>
      <w:r/>
      <w:bookmarkStart w:id="337" w:name="_Toc16938564"/>
      <w:r/>
      <w:bookmarkStart w:id="338" w:name="_Toc120614227"/>
      <w:r/>
      <w:bookmarkStart w:id="339" w:name="_Toc20823320"/>
      <w:r/>
      <w:bookmarkStart w:id="340" w:name="_Toc513029248"/>
      <w:r/>
      <w:bookmarkStart w:id="341" w:name="_Toc383698698"/>
      <w:r/>
      <w:bookmarkStart w:id="342" w:name="_Toc382814019"/>
      <w:r/>
      <w:bookmarkStart w:id="343" w:name="_Toc390246956"/>
      <w:r/>
      <w:bookmarkStart w:id="344" w:name="_Toc383587510"/>
      <w:r/>
      <w:bookmarkStart w:id="345" w:name="_Toc383623724"/>
      <w:r/>
      <w:bookmarkStart w:id="346" w:name="_Toc383623996"/>
      <w:r/>
      <w:bookmarkStart w:id="347" w:name="_Toc390098891"/>
      <w:r/>
      <w:bookmarkStart w:id="348" w:name="_Toc390099069"/>
      <w:r/>
      <w:bookmarkStart w:id="349" w:name="_Toc383626045"/>
      <w:r/>
      <w:bookmarkStart w:id="350" w:name="_Toc383679798"/>
      <w:r/>
      <w:bookmarkStart w:id="351" w:name="_Toc382813938"/>
      <w:r/>
      <w:bookmarkStart w:id="352" w:name="_Toc425871370"/>
      <w:r>
        <w:rPr>
          <w:rFonts w:hint="eastAsia" w:ascii="宋体" w:hAnsi="宋体" w:cs="宋体"/>
          <w:sz w:val="28"/>
          <w:szCs w:val="21"/>
        </w:rPr>
        <w:t xml:space="preserve">4、</w:t>
      </w:r>
      <w:bookmarkEnd w:id="335"/>
      <w:r/>
      <w:bookmarkEnd w:id="336"/>
      <w:r/>
      <w:bookmarkEnd w:id="337"/>
      <w:r/>
      <w:bookmarkEnd w:id="338"/>
      <w:r/>
      <w:bookmarkEnd w:id="339"/>
      <w:r/>
      <w:bookmarkEnd w:id="340"/>
      <w:r/>
      <w:bookmarkStart w:id="353" w:name="_Toc282446303"/>
      <w:r/>
      <w:bookmarkStart w:id="354" w:name="_Toc20823322"/>
      <w:r/>
      <w:bookmarkStart w:id="355" w:name="_Toc16938566"/>
      <w:r/>
      <w:bookmarkStart w:id="356" w:name="_Toc513029250"/>
      <w:r/>
      <w:bookmarkStart w:id="357" w:name="_Toc120614229"/>
      <w:r/>
      <w:bookmarkStart w:id="358" w:name="_Toc288030339"/>
      <w:r>
        <w:rPr>
          <w:rFonts w:hint="eastAsia" w:ascii="宋体" w:hAnsi="宋体" w:cs="宋体"/>
          <w:sz w:val="28"/>
          <w:szCs w:val="21"/>
        </w:rPr>
        <w:t xml:space="preserve">付款</w:t>
      </w:r>
      <w:bookmarkEnd w:id="353"/>
      <w:r/>
      <w:bookmarkEnd w:id="354"/>
      <w:r/>
      <w:bookmarkEnd w:id="355"/>
      <w:r/>
      <w:bookmarkEnd w:id="356"/>
      <w:r/>
      <w:bookmarkEnd w:id="357"/>
      <w:r/>
      <w:bookmarkEnd w:id="358"/>
      <w:r>
        <w:rPr>
          <w:rFonts w:hint="eastAsia" w:ascii="宋体" w:hAnsi="宋体" w:cs="宋体"/>
          <w:sz w:val="28"/>
          <w:szCs w:val="21"/>
        </w:rPr>
        <w:t xml:space="preserve">方式</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59" w:name="_Toc390098892"/>
      <w:r/>
      <w:bookmarkStart w:id="360" w:name="_Toc16938567"/>
      <w:r/>
      <w:bookmarkStart w:id="361" w:name="_Toc383623997"/>
      <w:r/>
      <w:bookmarkStart w:id="362" w:name="_Toc382813939"/>
      <w:r/>
      <w:bookmarkStart w:id="363" w:name="_Toc382811591"/>
      <w:r/>
      <w:bookmarkStart w:id="364" w:name="_Toc383698699"/>
      <w:r/>
      <w:bookmarkStart w:id="365" w:name="_Toc383679799"/>
      <w:r/>
      <w:bookmarkStart w:id="366" w:name="_Toc282446304"/>
      <w:r/>
      <w:bookmarkStart w:id="367" w:name="_Toc383626046"/>
      <w:r/>
      <w:bookmarkStart w:id="368" w:name="_Toc382812300"/>
      <w:r/>
      <w:bookmarkStart w:id="369" w:name="_Toc382814020"/>
      <w:r/>
      <w:bookmarkStart w:id="370" w:name="_Toc382812489"/>
      <w:r/>
      <w:bookmarkStart w:id="371" w:name="_Toc383587511"/>
      <w:r/>
      <w:bookmarkStart w:id="372" w:name="_Toc390246957"/>
      <w:r/>
      <w:bookmarkStart w:id="373" w:name="_Toc383623725"/>
      <w:r/>
      <w:bookmarkStart w:id="374" w:name="_Toc382811186"/>
      <w:r/>
      <w:bookmarkStart w:id="375" w:name="_Toc20823323"/>
      <w:r/>
      <w:bookmarkStart w:id="376" w:name="_Toc288030340"/>
      <w:r/>
      <w:bookmarkStart w:id="377" w:name="_Toc390099070"/>
      <w:r/>
      <w:bookmarkStart w:id="378" w:name="_Toc425871371"/>
      <w:r/>
      <w:bookmarkStart w:id="379" w:name="_Toc120614230"/>
      <w:r/>
      <w:bookmarkStart w:id="380" w:name="_Toc513029251"/>
      <w:r>
        <w:rPr>
          <w:rFonts w:hint="eastAsia" w:ascii="宋体" w:hAnsi="宋体" w:cs="宋体"/>
          <w:sz w:val="28"/>
          <w:szCs w:val="21"/>
        </w:rPr>
        <w:t xml:space="preserve">5、伴随服务</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1" w:name="_Toc383679800"/>
      <w:r/>
      <w:bookmarkStart w:id="382" w:name="_Toc425871372"/>
      <w:r/>
      <w:bookmarkStart w:id="383" w:name="_Toc383626047"/>
      <w:r/>
      <w:bookmarkStart w:id="384" w:name="_Toc120614231"/>
      <w:r/>
      <w:bookmarkStart w:id="385" w:name="_Toc390098893"/>
      <w:r/>
      <w:bookmarkStart w:id="386" w:name="_Toc390099071"/>
      <w:r/>
      <w:bookmarkStart w:id="387" w:name="_Toc282446305"/>
      <w:r/>
      <w:bookmarkStart w:id="388" w:name="_Toc16938568"/>
      <w:r/>
      <w:bookmarkStart w:id="389" w:name="_Toc382811592"/>
      <w:r/>
      <w:bookmarkStart w:id="390" w:name="_Toc383623726"/>
      <w:r/>
      <w:bookmarkStart w:id="391" w:name="_Toc382812301"/>
      <w:r/>
      <w:bookmarkStart w:id="392" w:name="_Toc382813940"/>
      <w:r/>
      <w:bookmarkStart w:id="393" w:name="_Toc382814021"/>
      <w:r/>
      <w:bookmarkStart w:id="394" w:name="_Toc288030341"/>
      <w:r/>
      <w:bookmarkStart w:id="395" w:name="_Toc383587512"/>
      <w:r/>
      <w:bookmarkStart w:id="396" w:name="_Toc383698700"/>
      <w:r/>
      <w:bookmarkStart w:id="397" w:name="_Toc390246958"/>
      <w:r/>
      <w:bookmarkStart w:id="398" w:name="_Toc20823324"/>
      <w:r/>
      <w:bookmarkStart w:id="399" w:name="_Toc382812490"/>
      <w:r/>
      <w:bookmarkStart w:id="400" w:name="_Toc383623998"/>
      <w:r/>
      <w:bookmarkStart w:id="401" w:name="_Toc382811187"/>
      <w:r/>
      <w:bookmarkStart w:id="402" w:name="_Toc513029252"/>
      <w:r>
        <w:rPr>
          <w:rFonts w:hint="eastAsia" w:ascii="宋体" w:hAnsi="宋体" w:cs="宋体"/>
          <w:sz w:val="28"/>
          <w:szCs w:val="21"/>
        </w:rPr>
        <w:t xml:space="preserve">6、质量保证</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3" w:name="_Toc288030343"/>
      <w:r/>
      <w:bookmarkStart w:id="404" w:name="_Toc282446307"/>
      <w:r/>
      <w:bookmarkStart w:id="405" w:name="_Toc20823326"/>
      <w:r/>
      <w:bookmarkStart w:id="406" w:name="_Toc513029254"/>
      <w:r/>
      <w:bookmarkStart w:id="407" w:name="_Toc16938570"/>
      <w:r/>
      <w:bookmarkStart w:id="408" w:name="_Toc120614233"/>
      <w:r/>
      <w:bookmarkStart w:id="409" w:name="_Toc399658018"/>
      <w:r/>
      <w:bookmarkStart w:id="410" w:name="_Toc399228176"/>
      <w:r/>
      <w:bookmarkStart w:id="411" w:name="_Toc399853485"/>
      <w:r/>
      <w:bookmarkStart w:id="412" w:name="_Toc399227843"/>
      <w:r/>
      <w:bookmarkStart w:id="413" w:name="_Toc425871373"/>
      <w:r>
        <w:rPr>
          <w:rFonts w:hint="eastAsia" w:ascii="宋体" w:hAnsi="宋体" w:cs="宋体"/>
          <w:sz w:val="28"/>
          <w:szCs w:val="21"/>
        </w:rPr>
        <w:t xml:space="preserve">7、</w:t>
      </w:r>
      <w:bookmarkEnd w:id="403"/>
      <w:r/>
      <w:bookmarkEnd w:id="404"/>
      <w:r/>
      <w:bookmarkEnd w:id="405"/>
      <w:r/>
      <w:bookmarkEnd w:id="406"/>
      <w:r/>
      <w:bookmarkEnd w:id="407"/>
      <w:r/>
      <w:bookmarkEnd w:id="408"/>
      <w:r/>
      <w:bookmarkStart w:id="414" w:name="_Toc20823329"/>
      <w:r/>
      <w:bookmarkStart w:id="415" w:name="_Toc513029257"/>
      <w:r/>
      <w:bookmarkStart w:id="416" w:name="_Toc16938573"/>
      <w:r/>
      <w:bookmarkStart w:id="417" w:name="_Toc120614236"/>
      <w:r/>
      <w:bookmarkStart w:id="418" w:name="_Toc288030346"/>
      <w:r/>
      <w:bookmarkStart w:id="419" w:name="_Toc282446310"/>
      <w:r>
        <w:rPr>
          <w:rFonts w:hint="eastAsia" w:ascii="宋体" w:hAnsi="宋体" w:cs="宋体"/>
          <w:sz w:val="28"/>
          <w:szCs w:val="21"/>
        </w:rPr>
        <w:t xml:space="preserve">不可抗力</w:t>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0" w:name="_Toc399853486"/>
      <w:r/>
      <w:bookmarkStart w:id="421" w:name="_Toc399658019"/>
      <w:r/>
      <w:bookmarkStart w:id="422" w:name="_Toc16938574"/>
      <w:r/>
      <w:bookmarkStart w:id="423" w:name="_Toc425871374"/>
      <w:r/>
      <w:bookmarkStart w:id="424" w:name="_Toc282446311"/>
      <w:r/>
      <w:bookmarkStart w:id="425" w:name="_Toc399228177"/>
      <w:r/>
      <w:bookmarkStart w:id="426" w:name="_Toc20823330"/>
      <w:r/>
      <w:bookmarkStart w:id="427" w:name="_Toc120614237"/>
      <w:r/>
      <w:bookmarkStart w:id="428" w:name="_Toc399227844"/>
      <w:r/>
      <w:bookmarkStart w:id="429" w:name="_Toc513029258"/>
      <w:r/>
      <w:bookmarkStart w:id="430" w:name="_Toc288030347"/>
      <w:r>
        <w:rPr>
          <w:rFonts w:hint="eastAsia" w:ascii="宋体" w:hAnsi="宋体" w:cs="宋体"/>
          <w:sz w:val="28"/>
          <w:szCs w:val="21"/>
        </w:rPr>
        <w:t xml:space="preserve">8、税费</w:t>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1" w:name="_Toc425871375"/>
      <w:r/>
      <w:bookmarkStart w:id="432" w:name="_Toc120614238"/>
      <w:r/>
      <w:bookmarkStart w:id="433" w:name="_Toc16938575"/>
      <w:r/>
      <w:bookmarkStart w:id="434" w:name="_Toc399228178"/>
      <w:r/>
      <w:bookmarkStart w:id="435" w:name="_Toc282446312"/>
      <w:r/>
      <w:bookmarkStart w:id="436" w:name="_Toc288030348"/>
      <w:r/>
      <w:bookmarkStart w:id="437" w:name="_Toc20823331"/>
      <w:r/>
      <w:bookmarkStart w:id="438" w:name="_Toc399227845"/>
      <w:r/>
      <w:bookmarkStart w:id="439" w:name="_Toc399853487"/>
      <w:r/>
      <w:bookmarkStart w:id="440" w:name="_Toc399658020"/>
      <w:r/>
      <w:bookmarkStart w:id="441" w:name="_Toc513029259"/>
      <w:r>
        <w:rPr>
          <w:rFonts w:hint="eastAsia" w:ascii="宋体" w:hAnsi="宋体" w:cs="宋体"/>
          <w:sz w:val="28"/>
          <w:szCs w:val="21"/>
        </w:rPr>
        <w:t xml:space="preserve">9、履约保证金</w:t>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9.1中标人与采购人签订政府采购合同前，无需提交履约保证金。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履约保证金的金额：无需缴纳履约保证金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2" w:name="_Toc120614239"/>
      <w:r/>
      <w:bookmarkStart w:id="443" w:name="_Toc20823332"/>
      <w:r/>
      <w:bookmarkStart w:id="444" w:name="_Toc399228179"/>
      <w:r/>
      <w:bookmarkStart w:id="445" w:name="_Toc282446313"/>
      <w:r/>
      <w:bookmarkStart w:id="446" w:name="_Toc513029260"/>
      <w:r/>
      <w:bookmarkStart w:id="447" w:name="_Toc16938576"/>
      <w:r/>
      <w:bookmarkStart w:id="448" w:name="_Toc399658021"/>
      <w:r/>
      <w:bookmarkStart w:id="449" w:name="_Toc462564119"/>
      <w:r/>
      <w:bookmarkStart w:id="450" w:name="_Toc399853488"/>
      <w:r/>
      <w:bookmarkStart w:id="451" w:name="_Toc399227846"/>
      <w:r/>
      <w:bookmarkStart w:id="452" w:name="_Toc288030349"/>
      <w:r/>
      <w:bookmarkStart w:id="453" w:name="_Toc425871376"/>
      <w:r>
        <w:rPr>
          <w:rFonts w:hint="eastAsia" w:ascii="宋体" w:hAnsi="宋体" w:cs="宋体"/>
          <w:sz w:val="28"/>
          <w:szCs w:val="21"/>
        </w:rPr>
        <w:t xml:space="preserve">10、仲裁</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4" w:name="_Toc399228180"/>
      <w:r/>
      <w:bookmarkStart w:id="455" w:name="_Toc462564120"/>
      <w:r/>
      <w:bookmarkStart w:id="456" w:name="_Toc282446314"/>
      <w:r/>
      <w:bookmarkStart w:id="457" w:name="_Toc120614240"/>
      <w:r/>
      <w:bookmarkStart w:id="458" w:name="_Toc399227847"/>
      <w:r/>
      <w:bookmarkStart w:id="459" w:name="_Toc16938577"/>
      <w:r/>
      <w:bookmarkStart w:id="460" w:name="_Toc399658022"/>
      <w:r/>
      <w:bookmarkStart w:id="461" w:name="_Toc20823333"/>
      <w:r/>
      <w:bookmarkStart w:id="462" w:name="_Toc399853489"/>
      <w:r/>
      <w:bookmarkStart w:id="463" w:name="_Toc288030350"/>
      <w:r/>
      <w:bookmarkStart w:id="464" w:name="_Toc513029261"/>
      <w:r/>
      <w:bookmarkStart w:id="465" w:name="_Toc425871377"/>
      <w:r>
        <w:rPr>
          <w:rFonts w:hint="eastAsia" w:ascii="宋体" w:hAnsi="宋体" w:cs="宋体"/>
          <w:sz w:val="28"/>
          <w:szCs w:val="21"/>
        </w:rPr>
        <w:t xml:space="preserve">11、违约终止合同</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6" w:name="_Toc425871378"/>
      <w:r/>
      <w:bookmarkStart w:id="467" w:name="_Toc399227848"/>
      <w:r/>
      <w:bookmarkStart w:id="468" w:name="_Toc288030351"/>
      <w:r/>
      <w:bookmarkStart w:id="469" w:name="_Toc282446315"/>
      <w:r/>
      <w:bookmarkStart w:id="470" w:name="_Toc20823334"/>
      <w:r/>
      <w:bookmarkStart w:id="471" w:name="_Toc399853490"/>
      <w:r/>
      <w:bookmarkStart w:id="472" w:name="_Toc120614241"/>
      <w:r/>
      <w:bookmarkStart w:id="473" w:name="_Toc513029262"/>
      <w:r/>
      <w:bookmarkStart w:id="474" w:name="_Toc16938578"/>
      <w:r/>
      <w:bookmarkStart w:id="475" w:name="_Toc462564121"/>
      <w:r/>
      <w:bookmarkStart w:id="476" w:name="_Toc399658023"/>
      <w:r/>
      <w:bookmarkStart w:id="477" w:name="_Toc399228181"/>
      <w:r>
        <w:rPr>
          <w:rFonts w:hint="eastAsia" w:ascii="宋体" w:hAnsi="宋体" w:cs="宋体"/>
          <w:sz w:val="28"/>
          <w:szCs w:val="21"/>
        </w:rPr>
        <w:t xml:space="preserve">12、破产中止合同</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78" w:name="_Toc399228182"/>
      <w:r/>
      <w:bookmarkStart w:id="479" w:name="_Toc282446316"/>
      <w:r/>
      <w:bookmarkStart w:id="480" w:name="_Toc462564122"/>
      <w:r/>
      <w:bookmarkStart w:id="481" w:name="_Toc120614242"/>
      <w:r/>
      <w:bookmarkStart w:id="482" w:name="_Toc16938579"/>
      <w:r/>
      <w:bookmarkStart w:id="483" w:name="_Toc288030352"/>
      <w:r/>
      <w:bookmarkStart w:id="484" w:name="_Toc513029263"/>
      <w:r/>
      <w:bookmarkStart w:id="485" w:name="_Toc425871379"/>
      <w:r/>
      <w:bookmarkStart w:id="486" w:name="_Toc399227849"/>
      <w:r/>
      <w:bookmarkStart w:id="487" w:name="_Toc399853491"/>
      <w:r/>
      <w:bookmarkStart w:id="488" w:name="_Toc399658024"/>
      <w:r/>
      <w:bookmarkStart w:id="489" w:name="_Toc20823335"/>
      <w:r>
        <w:rPr>
          <w:rFonts w:hint="eastAsia" w:ascii="宋体" w:hAnsi="宋体" w:cs="宋体"/>
          <w:sz w:val="28"/>
          <w:szCs w:val="21"/>
        </w:rPr>
        <w:t xml:space="preserve">13、转让</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0" w:name="_Toc399228183"/>
      <w:r/>
      <w:bookmarkStart w:id="491" w:name="_Toc425871380"/>
      <w:r/>
      <w:bookmarkStart w:id="492" w:name="_Toc462564123"/>
      <w:r/>
      <w:bookmarkStart w:id="493" w:name="_Toc513029264"/>
      <w:r/>
      <w:bookmarkStart w:id="494" w:name="_Toc399658025"/>
      <w:r/>
      <w:bookmarkStart w:id="495" w:name="_Toc20823336"/>
      <w:r/>
      <w:bookmarkStart w:id="496" w:name="_Toc288030353"/>
      <w:r/>
      <w:bookmarkStart w:id="497" w:name="_Toc16938580"/>
      <w:r/>
      <w:bookmarkStart w:id="498" w:name="_Toc120614243"/>
      <w:r/>
      <w:bookmarkStart w:id="499" w:name="_Toc282446317"/>
      <w:r/>
      <w:bookmarkStart w:id="500" w:name="_Toc399227850"/>
      <w:r/>
      <w:bookmarkStart w:id="501" w:name="_Toc399853492"/>
      <w:r>
        <w:rPr>
          <w:rFonts w:hint="eastAsia" w:ascii="宋体" w:hAnsi="宋体" w:cs="宋体"/>
          <w:sz w:val="28"/>
          <w:szCs w:val="21"/>
        </w:rPr>
        <w:t xml:space="preserve">14、合同生效及其它</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rFonts w:ascii="宋体" w:hAnsi="宋体" w:cs="宋体"/>
          <w:b/>
          <w:bCs/>
          <w:sz w:val="28"/>
          <w:szCs w:val="28"/>
        </w:rPr>
        <w:outlineLvl w:val="1"/>
      </w:pPr>
      <w:r>
        <w:rPr>
          <w:rFonts w:hint="eastAsia" w:ascii="宋体" w:hAnsi="宋体" w:cs="宋体"/>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根据《中华人民共和国政府采购法》、《中华人民共和国民法典》和相关行业法律法规等法律法规的规定，甲乙双方按照招标结果签订本合同。</w:t>
      </w:r>
      <w:r/>
    </w:p>
    <w:p>
      <w:pPr>
        <w:ind w:firstLine="562"/>
        <w:spacing w:line="500" w:lineRule="exact"/>
        <w:rPr>
          <w:rFonts w:ascii="宋体" w:hAnsi="宋体" w:cs="宋体"/>
          <w:b/>
          <w:sz w:val="28"/>
          <w:szCs w:val="28"/>
        </w:rPr>
      </w:pPr>
      <w:r>
        <w:rPr>
          <w:rFonts w:hint="eastAsia" w:ascii="宋体" w:hAnsi="宋体" w:cs="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cs="宋体"/>
          <w:b/>
          <w:sz w:val="28"/>
          <w:szCs w:val="28"/>
        </w:rPr>
      </w:pPr>
      <w:r>
        <w:rPr>
          <w:rFonts w:hint="eastAsia" w:ascii="宋体" w:hAnsi="宋体" w:cs="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cs="宋体"/>
          <w:sz w:val="28"/>
          <w:szCs w:val="28"/>
        </w:rPr>
      </w:pPr>
      <w:r>
        <w:rPr>
          <w:rFonts w:hint="eastAsia" w:ascii="宋体" w:hAnsi="宋体" w:cs="宋体"/>
          <w:b/>
          <w:sz w:val="28"/>
          <w:szCs w:val="28"/>
        </w:rPr>
        <w:t xml:space="preserve">四. 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cs="宋体"/>
          <w:sz w:val="28"/>
          <w:szCs w:val="28"/>
        </w:rPr>
      </w:pPr>
      <w:r>
        <w:rPr>
          <w:rFonts w:hint="eastAsia" w:ascii="宋体" w:hAnsi="宋体" w:cs="宋体"/>
          <w:sz w:val="28"/>
          <w:szCs w:val="28"/>
        </w:rPr>
        <w:t xml:space="preserve">2、验收时间及标准：</w:t>
      </w:r>
      <w:r/>
    </w:p>
    <w:p>
      <w:pPr>
        <w:pStyle w:val="734"/>
        <w:ind w:firstLine="560"/>
        <w:spacing w:line="500" w:lineRule="exact"/>
        <w:rPr>
          <w:rFonts w:ascii="宋体" w:hAnsi="宋体" w:cs="宋体"/>
        </w:rPr>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cs="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cs="宋体"/>
          <w:sz w:val="28"/>
          <w:szCs w:val="28"/>
        </w:rPr>
      </w:pPr>
      <w:r>
        <w:rPr>
          <w:rFonts w:hint="eastAsia" w:ascii="宋体" w:hAnsi="宋体" w:cs="宋体"/>
          <w:b/>
          <w:bCs/>
          <w:sz w:val="28"/>
          <w:szCs w:val="28"/>
        </w:rPr>
        <w:t xml:space="preserve">六</w:t>
      </w:r>
      <w:r>
        <w:rPr>
          <w:rFonts w:hint="eastAsia" w:ascii="宋体" w:hAnsi="宋体" w:cs="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cs="宋体"/>
          <w:sz w:val="28"/>
          <w:szCs w:val="28"/>
        </w:rPr>
      </w:pPr>
      <w:r>
        <w:rPr>
          <w:rFonts w:hint="eastAsia" w:ascii="宋体" w:hAnsi="宋体" w:cs="宋体"/>
          <w:b/>
          <w:bCs/>
          <w:sz w:val="28"/>
          <w:szCs w:val="28"/>
        </w:rPr>
        <w:t xml:space="preserve">七</w:t>
      </w:r>
      <w:r>
        <w:rPr>
          <w:rFonts w:hint="eastAsia" w:ascii="宋体" w:hAnsi="宋体" w:cs="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rFonts w:ascii="宋体" w:hAnsi="宋体" w:cs="宋体"/>
          <w:sz w:val="28"/>
        </w:rPr>
      </w:pPr>
      <w:r>
        <w:rPr>
          <w:rFonts w:hint="eastAsia" w:ascii="宋体" w:hAnsi="宋体" w:cs="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cs="宋体"/>
          <w:b/>
          <w:sz w:val="28"/>
          <w:szCs w:val="28"/>
        </w:rPr>
      </w:pPr>
      <w:r>
        <w:rPr>
          <w:rFonts w:hint="eastAsia" w:ascii="宋体" w:hAnsi="宋体" w:cs="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1、中标人与采购人签订政府采购合同前，无需提交履约保证金。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履约保证金的形式：支票、汇票、本票或者金融机构、担保机构出具的保函等非现金形式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履约保证金的金额：无</w:t>
      </w:r>
      <w:r/>
    </w:p>
    <w:p>
      <w:pPr>
        <w:pStyle w:val="734"/>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十二．争议</w:t>
      </w:r>
      <w:r/>
    </w:p>
    <w:p>
      <w:pPr>
        <w:ind w:firstLine="560"/>
        <w:spacing w:line="500" w:lineRule="exact"/>
        <w:rPr>
          <w:rFonts w:ascii="宋体" w:hAnsi="宋体" w:cs="宋体"/>
          <w:sz w:val="28"/>
          <w:szCs w:val="28"/>
        </w:rPr>
      </w:pPr>
      <w:r>
        <w:rPr>
          <w:rFonts w:hint="eastAsia" w:ascii="宋体" w:hAnsi="宋体" w:cs="宋体"/>
          <w:sz w:val="28"/>
          <w:szCs w:val="28"/>
        </w:rPr>
        <w:t xml:space="preserve">1.在执行本合同中发生的或与本合同有关的争端，双方应通过友好协商解决。经协商不能达成协议时，可向泰兴市仲裁委员会按其仲裁规则申请仲裁。仲裁不成功，向合同签约地的人民法院提请诉讼。</w:t>
      </w:r>
      <w:r/>
    </w:p>
    <w:p>
      <w:pPr>
        <w:ind w:firstLine="560"/>
        <w:spacing w:line="500" w:lineRule="exact"/>
        <w:rPr>
          <w:rFonts w:ascii="宋体" w:hAnsi="宋体" w:cs="宋体"/>
          <w:sz w:val="28"/>
          <w:szCs w:val="28"/>
        </w:rPr>
      </w:pPr>
      <w:r>
        <w:rPr>
          <w:rFonts w:hint="eastAsia" w:ascii="宋体" w:hAnsi="宋体" w:cs="宋体"/>
          <w:sz w:val="28"/>
          <w:szCs w:val="28"/>
        </w:rPr>
        <w:t xml:space="preserve">2.在仲裁和诉讼期间，双方应继续履行争议部分以外的合同内容。</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十三．违约终止合同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1 .违约责任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有下列情况之一的，甲方有权终止协议：</w:t>
      </w:r>
      <w:r/>
    </w:p>
    <w:p>
      <w:pPr>
        <w:ind w:firstLine="560"/>
        <w:spacing w:line="500" w:lineRule="exact"/>
        <w:rPr>
          <w:rFonts w:ascii="宋体" w:hAnsi="宋体" w:cs="宋体"/>
          <w:sz w:val="28"/>
          <w:szCs w:val="28"/>
        </w:rPr>
      </w:pPr>
      <w:r>
        <w:rPr>
          <w:rFonts w:hint="eastAsia" w:ascii="宋体" w:hAnsi="宋体" w:cs="宋体"/>
          <w:sz w:val="28"/>
          <w:szCs w:val="28"/>
        </w:rPr>
        <w:t xml:space="preserve">1.1乙方未能按上级要求造成结果失真或未能按进保质完成甲方委托任务的。</w:t>
      </w:r>
      <w:r/>
    </w:p>
    <w:p>
      <w:pPr>
        <w:ind w:firstLine="560"/>
        <w:spacing w:line="500" w:lineRule="exact"/>
        <w:rPr>
          <w:rFonts w:ascii="宋体" w:hAnsi="宋体" w:cs="宋体"/>
          <w:sz w:val="28"/>
          <w:szCs w:val="28"/>
        </w:rPr>
      </w:pPr>
      <w:r>
        <w:rPr>
          <w:rFonts w:hint="eastAsia" w:ascii="宋体" w:hAnsi="宋体" w:cs="宋体"/>
          <w:sz w:val="28"/>
          <w:szCs w:val="28"/>
        </w:rPr>
        <w:t xml:space="preserve">1.2乙方违反从业道德，影响甲方声誉或投诉查实的。</w:t>
      </w:r>
      <w:r/>
    </w:p>
    <w:p>
      <w:pPr>
        <w:ind w:firstLine="560"/>
        <w:spacing w:line="500" w:lineRule="exact"/>
        <w:rPr>
          <w:rFonts w:ascii="宋体" w:hAnsi="宋体" w:cs="宋体"/>
          <w:sz w:val="28"/>
          <w:szCs w:val="28"/>
        </w:rPr>
      </w:pPr>
      <w:r>
        <w:rPr>
          <w:rFonts w:hint="eastAsia" w:ascii="宋体" w:hAnsi="宋体" w:cs="宋体"/>
          <w:sz w:val="28"/>
          <w:szCs w:val="28"/>
        </w:rPr>
        <w:t xml:space="preserve">2.因解除而终止</w:t>
      </w:r>
      <w:r/>
    </w:p>
    <w:p>
      <w:pPr>
        <w:ind w:firstLine="560"/>
        <w:spacing w:line="500" w:lineRule="exact"/>
        <w:rPr>
          <w:rFonts w:ascii="宋体" w:hAnsi="宋体" w:cs="宋体"/>
          <w:sz w:val="28"/>
          <w:szCs w:val="28"/>
        </w:rPr>
      </w:pPr>
      <w:r>
        <w:rPr>
          <w:rFonts w:hint="eastAsia" w:ascii="宋体" w:hAnsi="宋体" w:cs="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cs="宋体"/>
          <w:sz w:val="28"/>
          <w:szCs w:val="28"/>
        </w:rPr>
      </w:pPr>
      <w:r>
        <w:rPr>
          <w:rFonts w:hint="eastAsia" w:ascii="宋体" w:hAnsi="宋体" w:cs="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cs="宋体"/>
          <w:sz w:val="28"/>
          <w:szCs w:val="28"/>
        </w:rPr>
      </w:pPr>
      <w:r>
        <w:rPr>
          <w:rFonts w:hint="eastAsia" w:ascii="宋体" w:hAnsi="宋体" w:cs="宋体"/>
          <w:sz w:val="28"/>
          <w:szCs w:val="28"/>
        </w:rPr>
        <w:t xml:space="preserve">2.4合同终止后，不妨碍守约方向违约方追究违约责任。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3.甲方未能按规定时限支付评估经费的，每延迟一天，按应付金额的0.1%对乙方进行违约赔偿。</w:t>
      </w:r>
      <w:r/>
    </w:p>
    <w:p>
      <w:pPr>
        <w:ind w:firstLine="562"/>
        <w:spacing w:line="500" w:lineRule="exact"/>
        <w:rPr>
          <w:rFonts w:ascii="宋体" w:hAnsi="宋体" w:cs="宋体"/>
          <w:b/>
          <w:sz w:val="28"/>
          <w:szCs w:val="28"/>
        </w:rPr>
      </w:pPr>
      <w:r>
        <w:rPr>
          <w:rFonts w:hint="eastAsia" w:ascii="宋体" w:hAnsi="宋体" w:cs="宋体"/>
          <w:b/>
          <w:sz w:val="28"/>
          <w:szCs w:val="28"/>
        </w:rPr>
        <w:t xml:space="preserve">十四．变更指示</w:t>
      </w:r>
      <w:r/>
    </w:p>
    <w:p>
      <w:pPr>
        <w:ind w:firstLine="560"/>
        <w:spacing w:line="500" w:lineRule="exact"/>
        <w:rPr>
          <w:rFonts w:ascii="宋体" w:hAnsi="宋体" w:cs="宋体"/>
          <w:sz w:val="28"/>
          <w:szCs w:val="28"/>
        </w:rPr>
      </w:pPr>
      <w:r>
        <w:rPr>
          <w:rFonts w:hint="eastAsia" w:ascii="宋体" w:hAnsi="宋体" w:cs="宋体"/>
          <w:sz w:val="28"/>
          <w:szCs w:val="28"/>
        </w:rPr>
        <w:t xml:space="preserve">1.甲方有权根据实际需要，在《政府采购法》允许的范围内提出变更要求。</w:t>
      </w:r>
      <w:r/>
    </w:p>
    <w:p>
      <w:pPr>
        <w:ind w:firstLine="560"/>
        <w:spacing w:line="500" w:lineRule="exact"/>
        <w:rPr>
          <w:rFonts w:ascii="宋体" w:hAnsi="宋体" w:cs="宋体"/>
          <w:sz w:val="28"/>
          <w:szCs w:val="28"/>
        </w:rPr>
      </w:pPr>
      <w:r>
        <w:rPr>
          <w:rFonts w:hint="eastAsia" w:ascii="宋体" w:hAnsi="宋体" w:cs="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十五．合同修改</w:t>
      </w:r>
      <w:r/>
    </w:p>
    <w:p>
      <w:pPr>
        <w:ind w:firstLine="560"/>
        <w:spacing w:line="500" w:lineRule="exact"/>
        <w:rPr>
          <w:rFonts w:ascii="宋体" w:hAnsi="宋体" w:cs="宋体"/>
          <w:sz w:val="28"/>
          <w:szCs w:val="28"/>
        </w:rPr>
      </w:pPr>
      <w:r>
        <w:rPr>
          <w:rFonts w:hint="eastAsia" w:ascii="宋体" w:hAnsi="宋体" w:cs="宋体"/>
          <w:sz w:val="28"/>
          <w:szCs w:val="28"/>
        </w:rPr>
        <w:t xml:space="preserve">1.对合同条款作出任何改动或偏离，均须甲乙双方签署书面的合同修改书。</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十六．适用法律</w:t>
      </w:r>
      <w:r/>
    </w:p>
    <w:p>
      <w:pPr>
        <w:ind w:firstLine="560"/>
        <w:spacing w:line="500" w:lineRule="exact"/>
        <w:rPr>
          <w:rFonts w:ascii="宋体" w:hAnsi="宋体" w:cs="宋体"/>
          <w:sz w:val="28"/>
          <w:szCs w:val="28"/>
        </w:rPr>
      </w:pPr>
      <w:r>
        <w:rPr>
          <w:rFonts w:hint="eastAsia" w:ascii="宋体" w:hAnsi="宋体" w:cs="宋体"/>
          <w:sz w:val="28"/>
          <w:szCs w:val="28"/>
        </w:rPr>
        <w:t xml:space="preserve">l.本合同应按中华人民共和国的法律解释。</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十七．语言与计量单位</w:t>
      </w:r>
      <w:r/>
    </w:p>
    <w:p>
      <w:pPr>
        <w:ind w:firstLine="560"/>
        <w:spacing w:line="500" w:lineRule="exact"/>
        <w:rPr>
          <w:rFonts w:ascii="宋体" w:hAnsi="宋体" w:cs="宋体"/>
          <w:sz w:val="28"/>
          <w:szCs w:val="28"/>
        </w:rPr>
      </w:pPr>
      <w:r>
        <w:rPr>
          <w:rFonts w:hint="eastAsia" w:ascii="宋体" w:hAnsi="宋体" w:cs="宋体"/>
          <w:sz w:val="28"/>
          <w:szCs w:val="28"/>
        </w:rPr>
        <w:t xml:space="preserve">1.合同书写应用中文。甲乙双方所有的来往函电以及与合同有关的文件均应以中文书写。</w:t>
      </w:r>
      <w:r/>
    </w:p>
    <w:p>
      <w:pPr>
        <w:ind w:firstLine="560"/>
        <w:spacing w:line="500" w:lineRule="exact"/>
        <w:rPr>
          <w:rFonts w:ascii="宋体" w:hAnsi="宋体" w:cs="宋体"/>
          <w:sz w:val="28"/>
          <w:szCs w:val="28"/>
        </w:rPr>
      </w:pPr>
      <w:r>
        <w:rPr>
          <w:rFonts w:hint="eastAsia" w:ascii="宋体" w:hAnsi="宋体" w:cs="宋体"/>
          <w:sz w:val="28"/>
          <w:szCs w:val="28"/>
        </w:rPr>
        <w:t xml:space="preserve">2.除技术规格中另有规定外，计量单位均使用国际单位制。</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十八．通知</w:t>
      </w:r>
      <w:r/>
    </w:p>
    <w:p>
      <w:pPr>
        <w:ind w:firstLine="560"/>
        <w:spacing w:line="500" w:lineRule="exact"/>
        <w:rPr>
          <w:rFonts w:ascii="宋体" w:hAnsi="宋体" w:cs="宋体"/>
          <w:sz w:val="28"/>
          <w:szCs w:val="28"/>
        </w:rPr>
      </w:pPr>
      <w:r>
        <w:rPr>
          <w:rFonts w:hint="eastAsia" w:ascii="宋体" w:hAnsi="宋体" w:cs="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cs="宋体"/>
          <w:b/>
          <w:sz w:val="28"/>
          <w:szCs w:val="28"/>
        </w:rPr>
      </w:pPr>
      <w:r>
        <w:rPr>
          <w:rFonts w:hint="eastAsia" w:ascii="宋体" w:hAnsi="宋体" w:cs="宋体"/>
          <w:b/>
          <w:sz w:val="28"/>
          <w:szCs w:val="28"/>
        </w:rPr>
        <w:t xml:space="preserve">十九．合同文件及资料的保密</w:t>
      </w:r>
      <w:r/>
    </w:p>
    <w:p>
      <w:pPr>
        <w:ind w:firstLine="543"/>
        <w:spacing w:line="500" w:lineRule="exact"/>
        <w:rPr>
          <w:rFonts w:ascii="宋体" w:hAnsi="宋体" w:cs="宋体"/>
          <w:sz w:val="28"/>
          <w:szCs w:val="28"/>
        </w:rPr>
      </w:pPr>
      <w:r>
        <w:rPr>
          <w:rFonts w:hint="eastAsia" w:ascii="宋体" w:hAnsi="宋体" w:cs="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cs="宋体"/>
          <w:sz w:val="28"/>
          <w:szCs w:val="28"/>
        </w:rPr>
      </w:pPr>
      <w:r>
        <w:rPr>
          <w:rFonts w:hint="eastAsia" w:ascii="宋体" w:hAnsi="宋体" w:cs="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二十．合同生效及其他</w:t>
      </w:r>
      <w:r/>
    </w:p>
    <w:p>
      <w:pPr>
        <w:ind w:firstLine="560"/>
        <w:spacing w:line="500" w:lineRule="exact"/>
        <w:rPr>
          <w:rFonts w:ascii="宋体" w:hAnsi="宋体" w:cs="宋体"/>
          <w:sz w:val="28"/>
          <w:szCs w:val="28"/>
        </w:rPr>
      </w:pPr>
      <w:r>
        <w:rPr>
          <w:rFonts w:hint="eastAsia" w:ascii="宋体" w:hAnsi="宋体" w:cs="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cs="宋体"/>
          <w:sz w:val="28"/>
          <w:szCs w:val="28"/>
        </w:rPr>
      </w:pPr>
      <w:r>
        <w:rPr>
          <w:rFonts w:hint="eastAsia" w:ascii="宋体" w:hAnsi="宋体" w:cs="宋体"/>
          <w:sz w:val="28"/>
          <w:szCs w:val="28"/>
        </w:rPr>
        <w:t xml:space="preserve">2.合同一式肆份，具有同等法律效力。</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二十一．合同文件及解释顺序</w:t>
      </w:r>
      <w:r/>
    </w:p>
    <w:p>
      <w:pPr>
        <w:ind w:firstLine="560"/>
        <w:spacing w:line="500" w:lineRule="exact"/>
        <w:rPr>
          <w:rFonts w:ascii="宋体" w:hAnsi="宋体" w:cs="宋体"/>
          <w:sz w:val="28"/>
          <w:szCs w:val="28"/>
        </w:rPr>
      </w:pPr>
      <w:r>
        <w:rPr>
          <w:rFonts w:hint="eastAsia" w:ascii="宋体" w:hAnsi="宋体" w:cs="宋体"/>
          <w:sz w:val="28"/>
          <w:szCs w:val="28"/>
        </w:rPr>
        <w:t xml:space="preserve">下列文件均为合同组成文件</w:t>
      </w:r>
      <w:r/>
    </w:p>
    <w:p>
      <w:pPr>
        <w:ind w:firstLine="560"/>
        <w:spacing w:line="500" w:lineRule="exact"/>
        <w:rPr>
          <w:rFonts w:ascii="宋体" w:hAnsi="宋体" w:cs="宋体"/>
          <w:sz w:val="28"/>
          <w:szCs w:val="28"/>
        </w:rPr>
      </w:pPr>
      <w:r>
        <w:rPr>
          <w:rFonts w:hint="eastAsia" w:ascii="宋体" w:hAnsi="宋体" w:cs="宋体"/>
          <w:sz w:val="28"/>
          <w:szCs w:val="28"/>
        </w:rPr>
        <w:t xml:space="preserve">1.招标文件（包括澄清、答疑、修改和补充通知）</w:t>
      </w:r>
      <w:r/>
    </w:p>
    <w:p>
      <w:pPr>
        <w:ind w:firstLine="560"/>
        <w:spacing w:line="500" w:lineRule="exact"/>
        <w:rPr>
          <w:rFonts w:ascii="宋体" w:hAnsi="宋体" w:cs="宋体"/>
          <w:sz w:val="28"/>
          <w:szCs w:val="28"/>
        </w:rPr>
      </w:pPr>
      <w:r>
        <w:rPr>
          <w:rFonts w:hint="eastAsia" w:ascii="宋体" w:hAnsi="宋体" w:cs="宋体"/>
          <w:sz w:val="28"/>
          <w:szCs w:val="28"/>
        </w:rPr>
        <w:t xml:space="preserve">2.投标文件（包括修改、澄清）</w:t>
      </w:r>
      <w:r/>
    </w:p>
    <w:p>
      <w:pPr>
        <w:ind w:firstLine="560"/>
        <w:spacing w:line="500" w:lineRule="exact"/>
        <w:rPr>
          <w:rFonts w:ascii="宋体" w:hAnsi="宋体" w:cs="宋体"/>
          <w:sz w:val="28"/>
          <w:szCs w:val="28"/>
        </w:rPr>
      </w:pPr>
      <w:r>
        <w:rPr>
          <w:rFonts w:hint="eastAsia" w:ascii="宋体" w:hAnsi="宋体" w:cs="宋体"/>
          <w:sz w:val="28"/>
          <w:szCs w:val="28"/>
        </w:rPr>
        <w:t xml:space="preserve">3.中标通知书（包括投标人“回执”）</w:t>
      </w:r>
      <w:r/>
    </w:p>
    <w:p>
      <w:pPr>
        <w:ind w:firstLine="560"/>
        <w:spacing w:line="500" w:lineRule="exact"/>
        <w:rPr>
          <w:rFonts w:ascii="宋体" w:hAnsi="宋体" w:cs="宋体"/>
          <w:sz w:val="28"/>
          <w:szCs w:val="28"/>
        </w:rPr>
      </w:pPr>
      <w:r>
        <w:rPr>
          <w:rFonts w:hint="eastAsia" w:ascii="宋体" w:hAnsi="宋体" w:cs="宋体"/>
          <w:sz w:val="28"/>
          <w:szCs w:val="28"/>
        </w:rPr>
        <w:t xml:space="preserve">4.双方商定的补充协议或合同期内双方签署的备忘录</w:t>
      </w:r>
      <w:r/>
    </w:p>
    <w:p>
      <w:pPr>
        <w:ind w:firstLine="560"/>
        <w:spacing w:line="500" w:lineRule="exact"/>
        <w:rPr>
          <w:rFonts w:ascii="宋体" w:hAnsi="宋体" w:cs="宋体"/>
          <w:sz w:val="28"/>
          <w:szCs w:val="28"/>
        </w:rPr>
      </w:pPr>
      <w:r>
        <w:rPr>
          <w:rFonts w:hint="eastAsia" w:ascii="宋体" w:hAnsi="宋体" w:cs="宋体"/>
          <w:sz w:val="28"/>
          <w:szCs w:val="28"/>
        </w:rPr>
        <w:t xml:space="preserve">5.双方签署的合同谈判备忘录</w:t>
      </w:r>
      <w:r/>
    </w:p>
    <w:p>
      <w:pPr>
        <w:ind w:firstLine="560"/>
        <w:spacing w:line="500" w:lineRule="exact"/>
        <w:rPr>
          <w:rFonts w:ascii="宋体" w:hAnsi="宋体" w:cs="宋体"/>
          <w:sz w:val="28"/>
          <w:szCs w:val="28"/>
        </w:rPr>
      </w:pPr>
      <w:r>
        <w:rPr>
          <w:rFonts w:hint="eastAsia" w:ascii="宋体" w:hAnsi="宋体" w:cs="宋体"/>
          <w:sz w:val="28"/>
          <w:szCs w:val="28"/>
        </w:rPr>
        <w:t xml:space="preserve">6.与本合同有关的其他文件</w:t>
      </w:r>
      <w:r/>
    </w:p>
    <w:p>
      <w:pPr>
        <w:ind w:firstLine="420"/>
        <w:jc w:val="left"/>
        <w:spacing w:line="500" w:lineRule="exact"/>
        <w:rPr>
          <w:rFonts w:ascii="宋体" w:hAnsi="宋体" w:cs="宋体"/>
          <w:b/>
          <w:bCs/>
          <w:sz w:val="28"/>
          <w:szCs w:val="28"/>
          <w:lang w:val="zh-CN"/>
        </w:rPr>
      </w:pPr>
      <w:r>
        <w:rPr>
          <w:rFonts w:hint="eastAsia" w:ascii="宋体" w:hAnsi="宋体" w:cs="宋体"/>
          <w:b/>
          <w:bCs/>
          <w:sz w:val="28"/>
          <w:szCs w:val="28"/>
          <w:lang w:val="zh-CN"/>
        </w:rPr>
        <w:t xml:space="preserve">二十二</w:t>
      </w:r>
      <w:r>
        <w:rPr>
          <w:rFonts w:hint="eastAsia" w:ascii="宋体" w:hAnsi="宋体" w:cs="宋体"/>
          <w:b/>
          <w:sz w:val="28"/>
          <w:szCs w:val="28"/>
        </w:rPr>
        <w:t xml:space="preserve">．</w:t>
      </w:r>
      <w:r>
        <w:rPr>
          <w:rFonts w:hint="eastAsia" w:ascii="宋体" w:hAnsi="宋体" w:cs="宋体"/>
          <w:b/>
          <w:bCs/>
          <w:sz w:val="28"/>
          <w:szCs w:val="28"/>
          <w:lang w:val="zh-CN"/>
        </w:rPr>
        <w:t xml:space="preserve">合同的变更和终止</w:t>
      </w:r>
      <w:r/>
    </w:p>
    <w:p>
      <w:pPr>
        <w:ind w:firstLine="560"/>
        <w:spacing w:line="500" w:lineRule="exact"/>
        <w:rPr>
          <w:rFonts w:ascii="宋体" w:hAnsi="宋体" w:cs="宋体"/>
          <w:sz w:val="28"/>
          <w:szCs w:val="28"/>
        </w:rPr>
      </w:pPr>
      <w:r>
        <w:rPr>
          <w:rFonts w:hint="eastAsia" w:ascii="宋体" w:hAnsi="宋体" w:cs="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ascii="宋体" w:hAnsi="宋体" w:cs="宋体"/>
          <w:sz w:val="52"/>
        </w:rPr>
      </w:pPr>
      <w:r>
        <w:rPr>
          <w:rFonts w:ascii="宋体" w:hAnsi="宋体" w:cs="宋体"/>
          <w:sz w:val="52"/>
        </w:rPr>
      </w:r>
      <w:r/>
    </w:p>
    <w:p>
      <w:pPr>
        <w:spacing w:line="500" w:lineRule="exact"/>
        <w:rPr>
          <w:rFonts w:ascii="宋体" w:hAnsi="宋体" w:cs="宋体"/>
          <w:sz w:val="28"/>
          <w:szCs w:val="28"/>
        </w:rPr>
      </w:pPr>
      <w:r>
        <w:rPr>
          <w:rFonts w:hint="eastAsia" w:ascii="宋体" w:hAnsi="宋体" w:cs="宋体"/>
          <w:sz w:val="28"/>
          <w:szCs w:val="28"/>
        </w:rPr>
        <w:t xml:space="preserve">甲方：（盖章）                乙方：（盖章）</w:t>
      </w:r>
      <w:r/>
    </w:p>
    <w:p>
      <w:pPr>
        <w:spacing w:line="500" w:lineRule="exact"/>
        <w:rPr>
          <w:rFonts w:ascii="宋体" w:hAnsi="宋体" w:cs="宋体"/>
          <w:sz w:val="28"/>
          <w:szCs w:val="28"/>
        </w:rPr>
      </w:pPr>
      <w:r>
        <w:rPr>
          <w:rFonts w:hint="eastAsia" w:ascii="宋体" w:hAnsi="宋体" w:cs="宋体"/>
          <w:sz w:val="28"/>
          <w:szCs w:val="28"/>
        </w:rPr>
        <w:t xml:space="preserve">法定代表人                   法定代表人</w:t>
      </w:r>
      <w:r/>
    </w:p>
    <w:p>
      <w:pPr>
        <w:spacing w:line="500" w:lineRule="exact"/>
        <w:rPr>
          <w:rFonts w:ascii="宋体" w:hAnsi="宋体" w:cs="宋体"/>
          <w:sz w:val="28"/>
          <w:szCs w:val="28"/>
        </w:rPr>
      </w:pPr>
      <w:r>
        <w:rPr>
          <w:rFonts w:hint="eastAsia" w:ascii="宋体" w:hAnsi="宋体" w:cs="宋体"/>
          <w:sz w:val="28"/>
          <w:szCs w:val="28"/>
        </w:rPr>
        <w:t xml:space="preserve">（或授权代理人）：           （或授权代理人）：</w:t>
      </w:r>
      <w:r/>
    </w:p>
    <w:p>
      <w:pPr>
        <w:spacing w:line="500" w:lineRule="exact"/>
        <w:rPr>
          <w:rFonts w:ascii="宋体" w:hAnsi="宋体" w:cs="宋体"/>
          <w:sz w:val="28"/>
          <w:szCs w:val="28"/>
        </w:rPr>
      </w:pPr>
      <w:r>
        <w:rPr>
          <w:rFonts w:hint="eastAsia" w:ascii="宋体" w:hAnsi="宋体" w:cs="宋体"/>
          <w:sz w:val="28"/>
          <w:szCs w:val="28"/>
        </w:rPr>
        <w:t xml:space="preserve">单位地址：泰兴市国庆东路</w:t>
      </w:r>
      <w:r>
        <w:rPr>
          <w:rFonts w:ascii="宋体" w:hAnsi="宋体" w:cs="宋体"/>
          <w:sz w:val="28"/>
          <w:szCs w:val="28"/>
        </w:rPr>
        <w:t xml:space="preserve">161</w:t>
      </w:r>
      <w:r>
        <w:rPr>
          <w:rFonts w:hint="eastAsia" w:ascii="宋体" w:hAnsi="宋体" w:cs="宋体"/>
          <w:sz w:val="28"/>
          <w:szCs w:val="28"/>
        </w:rPr>
        <w:t xml:space="preserve">号 单位地址：</w:t>
      </w:r>
      <w:r/>
    </w:p>
    <w:p>
      <w:pPr>
        <w:spacing w:line="500" w:lineRule="exact"/>
        <w:rPr>
          <w:rFonts w:ascii="宋体" w:hAnsi="宋体" w:cs="宋体"/>
          <w:sz w:val="28"/>
          <w:szCs w:val="28"/>
        </w:rPr>
      </w:pPr>
      <w:r>
        <w:rPr>
          <w:rFonts w:hint="eastAsia" w:ascii="宋体" w:hAnsi="宋体" w:cs="宋体"/>
          <w:sz w:val="28"/>
          <w:szCs w:val="28"/>
        </w:rPr>
        <w:t xml:space="preserve">邮    编：225400             </w:t>
      </w:r>
      <w:r>
        <w:rPr>
          <w:rFonts w:ascii="宋体" w:hAnsi="宋体" w:cs="宋体"/>
          <w:sz w:val="28"/>
          <w:szCs w:val="28"/>
        </w:rPr>
        <w:t xml:space="preserve"> </w:t>
      </w:r>
      <w:r>
        <w:rPr>
          <w:rFonts w:hint="eastAsia" w:ascii="宋体" w:hAnsi="宋体" w:cs="宋体"/>
          <w:sz w:val="28"/>
          <w:szCs w:val="28"/>
        </w:rPr>
        <w:t xml:space="preserve"> 邮    编：</w:t>
      </w:r>
      <w:r/>
    </w:p>
    <w:p>
      <w:pPr>
        <w:spacing w:line="500" w:lineRule="exact"/>
        <w:rPr>
          <w:rFonts w:ascii="宋体" w:hAnsi="宋体" w:cs="宋体"/>
          <w:sz w:val="28"/>
          <w:szCs w:val="28"/>
        </w:rPr>
      </w:pPr>
      <w:r>
        <w:rPr>
          <w:rFonts w:hint="eastAsia" w:ascii="宋体" w:hAnsi="宋体" w:cs="宋体"/>
          <w:sz w:val="28"/>
          <w:szCs w:val="28"/>
        </w:rPr>
        <w:t xml:space="preserve">电    话：0523-879</w:t>
      </w:r>
      <w:r>
        <w:rPr>
          <w:rFonts w:ascii="宋体" w:hAnsi="宋体" w:cs="宋体"/>
          <w:sz w:val="28"/>
          <w:szCs w:val="28"/>
        </w:rPr>
        <w:t xml:space="preserve">91051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 电    话：</w:t>
      </w:r>
      <w:r/>
    </w:p>
    <w:p>
      <w:pPr>
        <w:spacing w:line="500" w:lineRule="exact"/>
        <w:rPr>
          <w:rFonts w:ascii="宋体" w:hAnsi="宋体" w:cs="宋体"/>
          <w:sz w:val="28"/>
          <w:szCs w:val="28"/>
        </w:rPr>
      </w:pPr>
      <w:r>
        <w:rPr>
          <w:rFonts w:hint="eastAsia" w:ascii="宋体" w:hAnsi="宋体" w:cs="宋体"/>
          <w:sz w:val="28"/>
          <w:szCs w:val="28"/>
        </w:rPr>
        <w:t xml:space="preserve">传    真：                   </w:t>
      </w:r>
      <w:r>
        <w:rPr>
          <w:rFonts w:ascii="宋体" w:hAnsi="宋体" w:cs="宋体"/>
          <w:sz w:val="28"/>
          <w:szCs w:val="28"/>
        </w:rPr>
        <w:t xml:space="preserve"> </w:t>
      </w:r>
      <w:r>
        <w:rPr>
          <w:rFonts w:hint="eastAsia" w:ascii="宋体" w:hAnsi="宋体" w:cs="宋体"/>
          <w:sz w:val="28"/>
          <w:szCs w:val="28"/>
        </w:rPr>
        <w:t xml:space="preserve"> 传    真：</w:t>
      </w:r>
      <w:r/>
    </w:p>
    <w:p>
      <w:pPr>
        <w:spacing w:line="500" w:lineRule="exact"/>
        <w:rPr>
          <w:rFonts w:ascii="宋体" w:hAnsi="宋体" w:cs="宋体"/>
          <w:sz w:val="28"/>
          <w:szCs w:val="28"/>
        </w:rPr>
      </w:pPr>
      <w:r>
        <w:rPr>
          <w:rFonts w:hint="eastAsia" w:ascii="宋体" w:hAnsi="宋体" w:cs="宋体"/>
          <w:sz w:val="28"/>
          <w:szCs w:val="28"/>
        </w:rPr>
        <w:t xml:space="preserve">开户银行：                   </w:t>
      </w:r>
      <w:r>
        <w:rPr>
          <w:rFonts w:ascii="宋体" w:hAnsi="宋体" w:cs="宋体"/>
          <w:sz w:val="28"/>
          <w:szCs w:val="28"/>
        </w:rPr>
        <w:t xml:space="preserve"> </w:t>
      </w:r>
      <w:r>
        <w:rPr>
          <w:rFonts w:hint="eastAsia" w:ascii="宋体" w:hAnsi="宋体" w:cs="宋体"/>
          <w:sz w:val="28"/>
          <w:szCs w:val="28"/>
        </w:rPr>
        <w:t xml:space="preserve"> 开户银行：</w:t>
      </w:r>
      <w:r/>
    </w:p>
    <w:p>
      <w:pPr>
        <w:spacing w:line="500" w:lineRule="exact"/>
        <w:tabs>
          <w:tab w:val="left" w:pos="4680" w:leader="none"/>
          <w:tab w:val="left" w:pos="4860" w:leader="none"/>
        </w:tabs>
        <w:rPr>
          <w:rFonts w:ascii="宋体" w:hAnsi="宋体" w:cs="宋体"/>
          <w:sz w:val="21"/>
          <w:szCs w:val="21"/>
        </w:rPr>
      </w:pPr>
      <w:r>
        <w:rPr>
          <w:rFonts w:hint="eastAsia" w:ascii="宋体" w:hAnsi="宋体" w:cs="宋体"/>
          <w:sz w:val="28"/>
          <w:szCs w:val="28"/>
        </w:rPr>
        <w:t xml:space="preserve">帐    号：                    </w:t>
      </w:r>
      <w:r>
        <w:rPr>
          <w:rFonts w:ascii="宋体" w:hAnsi="宋体" w:cs="宋体"/>
          <w:sz w:val="28"/>
          <w:szCs w:val="28"/>
        </w:rPr>
        <w:t xml:space="preserve"> </w:t>
      </w:r>
      <w:r>
        <w:rPr>
          <w:rFonts w:hint="eastAsia" w:ascii="宋体" w:hAnsi="宋体" w:cs="宋体"/>
          <w:sz w:val="28"/>
          <w:szCs w:val="28"/>
        </w:rPr>
        <w:t xml:space="preserve">帐    号：</w:t>
      </w:r>
      <w:bookmarkEnd w:id="238"/>
      <w:r/>
      <w:bookmarkEnd w:id="239"/>
      <w:r/>
      <w:bookmarkEnd w:id="240"/>
      <w:r/>
      <w:bookmarkEnd w:id="241"/>
      <w:r/>
      <w:bookmarkEnd w:id="242"/>
      <w:r/>
      <w:bookmarkEnd w:id="243"/>
      <w:r/>
      <w:bookmarkEnd w:id="244"/>
      <w:r/>
      <w:bookmarkEnd w:id="245"/>
      <w:r/>
      <w:bookmarkEnd w:id="246"/>
      <w:r/>
      <w:r/>
    </w:p>
    <w:p>
      <w:pPr>
        <w:pStyle w:val="734"/>
        <w:rPr>
          <w:rFonts w:ascii="宋体" w:hAnsi="宋体" w:cs="宋体"/>
        </w:rPr>
      </w:pPr>
      <w:r>
        <w:rPr>
          <w:rFonts w:ascii="宋体" w:hAnsi="宋体" w:cs="宋体"/>
        </w:rPr>
      </w:r>
      <w:r/>
    </w:p>
    <w:p>
      <w:pPr>
        <w:pStyle w:val="734"/>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微软雅黑" w:hAnsi="微软雅黑" w:eastAsia="微软雅黑" w:cs="微软雅黑"/>
          <w:b/>
          <w:bCs/>
          <w:sz w:val="36"/>
          <w:szCs w:val="36"/>
        </w:rPr>
      </w:pPr>
      <w:r>
        <w:rPr>
          <w:rFonts w:hint="eastAsia" w:ascii="微软雅黑" w:hAnsi="微软雅黑" w:eastAsia="微软雅黑" w:cs="微软雅黑"/>
          <w:b/>
          <w:bCs/>
          <w:sz w:val="36"/>
          <w:szCs w:val="36"/>
        </w:rPr>
        <w:t xml:space="preserve">第五章 采购需求</w:t>
      </w:r>
      <w:r/>
    </w:p>
    <w:p>
      <w:pPr>
        <w:ind w:firstLine="480"/>
        <w:spacing w:line="0" w:lineRule="atLeast"/>
        <w:rPr>
          <w:rFonts w:ascii="宋体" w:hAnsi="宋体" w:cs="宋体"/>
        </w:rPr>
      </w:pPr>
      <w:r>
        <w:rPr>
          <w:rFonts w:hint="eastAsia" w:ascii="宋体" w:hAnsi="宋体" w:cs="宋体"/>
          <w:sz w:val="28"/>
          <w:szCs w:val="28"/>
        </w:rPr>
        <w:t xml:space="preserve">项目属性:货物类项目。</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一、总体需求</w:t>
      </w:r>
      <w:r/>
    </w:p>
    <w:p>
      <w:pPr>
        <w:ind w:firstLine="560"/>
        <w:spacing w:line="500" w:lineRule="exact"/>
        <w:rPr>
          <w:rFonts w:ascii="宋体" w:hAnsi="宋体" w:cs="宋体"/>
          <w:sz w:val="28"/>
          <w:szCs w:val="28"/>
        </w:rPr>
      </w:pPr>
      <w:r>
        <w:rPr>
          <w:rFonts w:hint="eastAsia" w:ascii="宋体" w:hAnsi="宋体" w:cs="宋体"/>
          <w:sz w:val="28"/>
          <w:szCs w:val="28"/>
        </w:rPr>
        <w:t xml:space="preserve">1泰兴市人民法院高新区人民法庭定制审判桌椅及通用办公家具的供应及安装施工承包项目。投标人应对照采购清单，充分勘察现场，根据现场实际情况编制详细的实施方案，完成家具安装调试所需要的全部工作。</w:t>
      </w:r>
      <w:r/>
    </w:p>
    <w:p>
      <w:pPr>
        <w:ind w:firstLine="560"/>
        <w:spacing w:line="500" w:lineRule="exact"/>
        <w:rPr>
          <w:rFonts w:ascii="宋体" w:hAnsi="宋体" w:cs="宋体"/>
          <w:sz w:val="28"/>
          <w:szCs w:val="28"/>
        </w:rPr>
      </w:pPr>
      <w:r>
        <w:rPr>
          <w:rFonts w:hint="eastAsia" w:ascii="宋体" w:hAnsi="宋体" w:cs="宋体"/>
          <w:sz w:val="28"/>
          <w:szCs w:val="28"/>
        </w:rPr>
        <w:t xml:space="preserve">2.本项目采用总承包方式，因此投标人的报价应包括全部货物、工程和服务的价格及相关税费、运输到指定地点的装运费用、安装调试、售后服务等其他与本项目相关的所有费用。</w:t>
      </w:r>
      <w:r/>
    </w:p>
    <w:p>
      <w:pPr>
        <w:ind w:firstLine="560"/>
        <w:spacing w:line="500" w:lineRule="exact"/>
        <w:rPr>
          <w:rFonts w:ascii="宋体" w:hAnsi="宋体" w:cs="宋体"/>
          <w:sz w:val="28"/>
          <w:szCs w:val="28"/>
        </w:rPr>
      </w:pPr>
      <w:r>
        <w:rPr>
          <w:rFonts w:hint="eastAsia" w:ascii="宋体" w:hAnsi="宋体" w:cs="宋体"/>
          <w:sz w:val="28"/>
          <w:szCs w:val="28"/>
        </w:rPr>
        <w:t xml:space="preserve">3.本招标文件提出的是最低限度的技术要求，并未对一切技术细节作出规定也未完全充分列举、引述有关标准的条文，投标人应保证在投标前勘察现场后提供符合本招标文件需求和最新相关标准的优质产品和服务。</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二、设计需求</w:t>
      </w:r>
      <w:r/>
    </w:p>
    <w:p>
      <w:pPr>
        <w:ind w:firstLine="560"/>
        <w:spacing w:line="500" w:lineRule="exact"/>
        <w:rPr>
          <w:rFonts w:ascii="宋体" w:hAnsi="宋体" w:cs="宋体"/>
        </w:rPr>
      </w:pPr>
      <w:r>
        <w:rPr>
          <w:rFonts w:hint="eastAsia" w:ascii="宋体" w:hAnsi="宋体" w:cs="宋体"/>
          <w:sz w:val="28"/>
          <w:szCs w:val="28"/>
        </w:rPr>
        <w:t xml:space="preserve">本项目采购的办公家具须根据现行国家颁发的有关规范、标准进行设计。</w:t>
      </w:r>
      <w:r/>
    </w:p>
    <w:p>
      <w:pPr>
        <w:numPr>
          <w:ilvl w:val="0"/>
          <w:numId w:val="1"/>
        </w:num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设备采购清单</w:t>
      </w:r>
      <w:r/>
    </w:p>
    <w:p>
      <w:pPr>
        <w:jc w:val="left"/>
        <w:spacing w:line="460" w:lineRule="exact"/>
        <w:widowControl/>
        <w:rPr>
          <w:rFonts w:ascii="宋体" w:hAnsi="宋体" w:cs="宋体"/>
          <w:b/>
          <w:sz w:val="28"/>
          <w:szCs w:val="28"/>
        </w:rPr>
        <w:sectPr>
          <w:footerReference w:type="default" r:id="rId9"/>
          <w:footnotePr/>
          <w:endnotePr/>
          <w:type w:val="nextPage"/>
          <w:pgSz w:w="11906" w:h="16838" w:orient="portrait"/>
          <w:pgMar w:top="1440" w:right="1558" w:bottom="1440" w:left="1800" w:header="851" w:footer="992" w:gutter="0"/>
          <w:cols w:num="1" w:sep="0" w:space="425" w:equalWidth="1"/>
          <w:docGrid w:linePitch="360"/>
        </w:sectPr>
      </w:pPr>
      <w:r>
        <w:rPr>
          <w:rFonts w:ascii="宋体" w:hAnsi="宋体" w:cs="宋体"/>
          <w:b/>
          <w:sz w:val="28"/>
          <w:szCs w:val="28"/>
        </w:rPr>
      </w:r>
      <w:r/>
    </w:p>
    <w:tbl>
      <w:tblPr>
        <w:tblStyle w:val="728"/>
        <w:tblW w:w="14409" w:type="dxa"/>
        <w:tblInd w:w="93" w:type="dxa"/>
        <w:tblLayout w:type="fixed"/>
        <w:tblCellMar>
          <w:left w:w="108" w:type="dxa"/>
          <w:top w:w="0" w:type="dxa"/>
          <w:right w:w="108" w:type="dxa"/>
          <w:bottom w:w="0" w:type="dxa"/>
        </w:tblCellMar>
        <w:tblLook w:val="04A0" w:firstRow="1" w:lastRow="0" w:firstColumn="1" w:lastColumn="0" w:noHBand="0" w:noVBand="1"/>
      </w:tblPr>
      <w:tblGrid>
        <w:gridCol w:w="441"/>
        <w:gridCol w:w="1073"/>
        <w:gridCol w:w="2047"/>
        <w:gridCol w:w="907"/>
        <w:gridCol w:w="8706"/>
        <w:gridCol w:w="527"/>
        <w:gridCol w:w="698"/>
        <w:gridCol w:w="10"/>
      </w:tblGrid>
      <w:tr>
        <w:trPr>
          <w:trHeight w:val="570"/>
        </w:trPr>
        <w:tc>
          <w:tcPr>
            <w:gridSpan w:val="8"/>
            <w:shd w:val="clear" w:color="auto" w:fill="auto"/>
            <w:tcBorders>
              <w:top w:val="none" w:color="000000" w:sz="4" w:space="0"/>
              <w:left w:val="none" w:color="000000" w:sz="4" w:space="0"/>
              <w:bottom w:val="none" w:color="000000" w:sz="4" w:space="0"/>
              <w:right w:val="none" w:color="000000" w:sz="4" w:space="0"/>
            </w:tcBorders>
            <w:tcW w:w="14409" w:type="dxa"/>
            <w:vAlign w:val="center"/>
            <w:textDirection w:val="lrTb"/>
            <w:noWrap/>
          </w:tcPr>
          <w:p>
            <w:pPr>
              <w:widowControl/>
              <w:rPr>
                <w:rFonts w:ascii="等线" w:hAnsi="等线" w:eastAsia="等线" w:cs="等线"/>
                <w:b/>
                <w:bCs/>
                <w:color w:val="000000"/>
                <w:sz w:val="32"/>
                <w:szCs w:val="32"/>
              </w:rPr>
            </w:pPr>
            <w:r>
              <w:rPr>
                <w:rFonts w:hint="eastAsia" w:ascii="等线" w:hAnsi="等线" w:eastAsia="等线" w:cs="等线"/>
                <w:b/>
                <w:bCs/>
                <w:color w:val="000000"/>
                <w:sz w:val="32"/>
                <w:szCs w:val="32"/>
                <w:lang w:bidi="ar"/>
              </w:rPr>
              <w:t xml:space="preserve">产品采购清单</w:t>
            </w:r>
            <w:r/>
          </w:p>
        </w:tc>
      </w:tr>
      <w:tr>
        <w:trPr>
          <w:gridAfter w:val="1"/>
          <w:trHeight w:val="39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数量</w:t>
            </w:r>
            <w:r/>
          </w:p>
        </w:tc>
      </w:tr>
      <w:tr>
        <w:trP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等候区</w:t>
            </w:r>
            <w:r/>
          </w:p>
        </w:tc>
      </w:tr>
      <w:tr>
        <w:trPr>
          <w:gridAfter w:val="1"/>
          <w:trHeight w:val="1472"/>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37590" cy="629285"/>
                      <wp:effectExtent l="0" t="0" r="63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037590" cy="629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7pt;height:49.5pt;mso-wrap-distance-left:0.0pt;mso-wrap-distance-top:0.0pt;mso-wrap-distance-right:0.0pt;mso-wrap-distance-bottom:0.0pt;" stroked="false">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1780*600*820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1.座背板：座背板PU采用连体板设计制作，内层材质：采用1.5mm优质冷轧钢板,外部采用100%纯高密度聚氨酯（PU)全部包裹（即椅座和椅背造型上无外露钢架）模注成型.</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2.扶手脚:采用铝合金材料,大型精铸模具,压铸成型后直接抛光, 静电喷粉喷涂处理。</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3.横档:采用≥1.3㎜钢板，底部加焊加强板，在横档上冲安装孔位，横档两端采用塑胶塞封口。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18</w:t>
            </w:r>
            <w:r/>
          </w:p>
        </w:tc>
      </w:tr>
      <w:tr>
        <w:trPr>
          <w:gridAfter w:val="1"/>
          <w:trHeight w:val="1357"/>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28395" cy="629285"/>
                      <wp:effectExtent l="0" t="0" r="508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1128395" cy="629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49.5pt;mso-wrap-distance-left:0.0pt;mso-wrap-distance-top:0.0pt;mso-wrap-distance-right:0.0pt;mso-wrap-distance-bottom:0.0pt;" stroked="false">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1780*600*820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1.座背板：座背板PU采用连体板设计制作，内层材质：采用1.5mm优质冷轧钢板,外部采用100%纯高密度聚氨酯（PU)全部包裹（即椅座和椅背造型上无外露钢架）模注成型.</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2.扶手脚:采用铝合金材料,大型精铸模具,压铸成型后直接抛光, 静电喷粉喷涂处理。</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3.横档:采用≥1.3㎜钢板，底部加焊加强板，在横档上冲安装孔位，横档两端采用塑胶塞封口。</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5</w:t>
            </w:r>
            <w:r/>
          </w:p>
        </w:tc>
      </w:tr>
      <w:tr>
        <w:trPr>
          <w:trHeight w:val="443"/>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男女更衣室</w:t>
            </w:r>
            <w:r/>
          </w:p>
        </w:tc>
      </w:tr>
      <w:tr>
        <w:trPr>
          <w:gridAfter w:val="1"/>
          <w:trHeight w:val="345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20"/>
                <w:szCs w:val="20"/>
              </w:rPr>
            </w:pPr>
            <w:r>
              <mc:AlternateContent>
                <mc:Choice Requires="wpg">
                  <w:drawing>
                    <wp:inline xmlns:wp="http://schemas.openxmlformats.org/drawingml/2006/wordprocessingDrawing" distT="0" distB="0" distL="0" distR="0">
                      <wp:extent cx="598170" cy="977265"/>
                      <wp:effectExtent l="0" t="0" r="1905"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598170" cy="977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1pt;height:77.0pt;mso-wrap-distance-left:0.0pt;mso-wrap-distance-top:0.0pt;mso-wrap-distance-right:0.0pt;mso-wrap-distance-bottom:0.0pt;" stroked="false">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900*550*2000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颗粒板（顶板25mm,其余16mm)符合GB/T4897-2015、GB/T17657-2022、GB18580-2017、GB/T39600-2021、GB/T35601-2024、HJ571-2010、GB/T42898-2023标准，检测内容至少包括：密度；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4.优质阻尼缓冲铰链符合QB/T 2189-2013、GB/T 3325-2024、QB/T 3832-1999</w:t>
            </w:r>
            <w:r>
              <w:rPr>
                <w:rFonts w:hint="eastAsia" w:ascii="等线" w:hAnsi="等线" w:eastAsia="等线" w:cs="等线"/>
                <w:color w:val="000000"/>
                <w:sz w:val="16"/>
                <w:szCs w:val="16"/>
                <w:lang w:bidi="ar"/>
              </w:rPr>
              <w:t xml:space="preserve">、QB/T 3827-1999、GB/T 24195-2009、GB/T 6461-2002 标准，检测内容至少包括：外观性能-金属件：喷漆（塑）涂层应无漏喷、锈蚀、脱色、掉色等，应光滑均匀，色泽一致，应无流挂、疙瘩、皱皮、飞漆等；垂直静载荷（过载）；水平静载荷（过载）；垂直静载荷（功能）；水平静载荷（功能）：≥40N，10次；耐久性（功能）；下沉量（功能）；乙酸盐雾试验（ASS），金属涂层耐腐蚀等级；酸性盐雾、“干燥”和“湿润”条件下的循环加速腐蚀试验（方法A，≥12个循环）：外观无变化.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7</w:t>
            </w:r>
            <w:r/>
          </w:p>
        </w:tc>
      </w:tr>
      <w:tr>
        <w:trPr>
          <w:trHeight w:val="419"/>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sz w:val="20"/>
                <w:szCs w:val="20"/>
                <w:lang w:bidi="ar"/>
              </w:rPr>
            </w:pPr>
            <w:r>
              <w:rPr>
                <w:rFonts w:hint="eastAsia" w:ascii="等线" w:hAnsi="等线" w:eastAsia="等线" w:cs="等线"/>
                <w:b/>
                <w:bCs/>
                <w:color w:val="000000"/>
                <w:lang w:bidi="ar"/>
              </w:rPr>
              <w:t xml:space="preserve">中法庭</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法官台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20"/>
                <w:szCs w:val="20"/>
              </w:rPr>
            </w:pPr>
            <w:r>
              <mc:AlternateContent>
                <mc:Choice Requires="wpg">
                  <w:drawing>
                    <wp:inline xmlns:wp="http://schemas.openxmlformats.org/drawingml/2006/wordprocessingDrawing" distT="0" distB="0" distL="0" distR="0">
                      <wp:extent cx="1081405" cy="465455"/>
                      <wp:effectExtent l="0" t="0" r="444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1081405" cy="4654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1pt;height:36.6pt;mso-wrap-distance-left:0.0pt;mso-wrap-distance-top:0.0pt;mso-wrap-distance-right:0.0pt;mso-wrap-distance-bottom:0.0pt;" stroked="false">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7000*880*900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r>
      <w:tr>
        <w:trPr>
          <w:gridAfter w:val="1"/>
          <w:trHeight w:val="1987"/>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法官椅</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center"/>
              <w:widowControl/>
            </w:pPr>
            <w:r>
              <mc:AlternateContent>
                <mc:Choice Requires="wpg">
                  <w:drawing>
                    <wp:inline xmlns:wp="http://schemas.openxmlformats.org/drawingml/2006/wordprocessingDrawing" distT="0" distB="0" distL="0" distR="0">
                      <wp:extent cx="614045" cy="939800"/>
                      <wp:effectExtent l="0" t="0" r="508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614045" cy="939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3pt;height:74.0pt;mso-wrap-distance-left:0.0pt;mso-wrap-distance-top:0.0pt;mso-wrap-distance-right:0.0pt;mso-wrap-distance-bottom:0.0pt;" stroked="false">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680*600*1700</w:t>
            </w:r>
            <w:r/>
          </w:p>
        </w:tc>
        <w:tc>
          <w:tcPr>
            <w:shd w:val="clear" w:color="auto" w:fill="auto"/>
            <w:tcBorders>
              <w:top w:val="single" w:color="000000" w:sz="4" w:space="0"/>
              <w:left w:val="single" w:color="000000" w:sz="4" w:space="0"/>
              <w:right w:val="single" w:color="000000" w:sz="4" w:space="0"/>
            </w:tcBorders>
            <w:tcW w:w="8706" w:type="dxa"/>
            <w:vAlign w:val="center"/>
            <w:vMerge w:val="restart"/>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卤代烃总和含量；总铅(Pb)含量；耐冲击性：附着力；耐磨性；急性皮肤刺激性/腐蚀性试验：无刺激性；涂料中有害物质限量要求；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331"/>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center"/>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680*600*1600</w:t>
            </w:r>
            <w:r/>
          </w:p>
        </w:tc>
        <w:tc>
          <w:tcPr>
            <w:shd w:val="clear" w:color="auto" w:fill="auto"/>
            <w:tcBorders>
              <w:left w:val="single" w:color="000000" w:sz="4" w:space="0"/>
              <w:bottom w:val="single" w:color="000000" w:sz="4" w:space="0"/>
              <w:right w:val="single" w:color="000000"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244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书记员桌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01725" cy="680085"/>
                      <wp:effectExtent l="0" t="0" r="3175"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1101725" cy="680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8pt;height:53.5pt;mso-wrap-distance-left:0.0pt;mso-wrap-distance-top:0.0pt;mso-wrap-distance-right:0.0pt;mso-wrap-distance-bottom:0.0pt;" stroked="false">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1800*800*760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书记员椅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553720" cy="915670"/>
                      <wp:effectExtent l="0" t="0" r="8255"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553720" cy="9156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6pt;height:72.1pt;mso-wrap-distance-left:0.0pt;mso-wrap-distance-top:0.0pt;mso-wrap-distance-right:0.0pt;mso-wrap-distance-bottom:0.0pt;" stroked="false">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r>
      <w:tr>
        <w:trPr>
          <w:gridAfter w:val="1"/>
          <w:trHeight w:val="28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当事人桌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108585</wp:posOffset>
                      </wp:positionH>
                      <wp:positionV relativeFrom="paragraph">
                        <wp:posOffset>-429895</wp:posOffset>
                      </wp:positionV>
                      <wp:extent cx="950595" cy="523240"/>
                      <wp:effectExtent l="0" t="0" r="1905" b="63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950595" cy="5232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8.5pt;mso-position-horizontal:absolute;mso-position-vertical-relative:text;margin-top:-33.9pt;mso-position-vertical:absolute;width:74.8pt;height:41.2pt;mso-wrap-distance-left:0.0pt;mso-wrap-distance-top:0.0pt;mso-wrap-distance-right:0.0pt;mso-wrap-distance-bottom:0.0pt;" stroked="false">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2200*700*760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                                                                                                               </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糙度；均合格；                                                           </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p>
        </w:tc>
      </w:tr>
      <w:tr>
        <w:trPr>
          <w:gridAfter w:val="1"/>
          <w:trHeight w:val="341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当事人椅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567690" cy="956310"/>
                      <wp:effectExtent l="0" t="0" r="3810" b="571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567690" cy="956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7pt;height:75.3pt;mso-wrap-distance-left:0.0pt;mso-wrap-distance-top:0.0pt;mso-wrap-distance-right:0.0pt;mso-wrap-distance-bottom:0.0pt;" stroked="false">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r>
      <w:tr>
        <w:trPr>
          <w:gridAfter w:val="1"/>
          <w:trHeight w:val="283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法庭隔断</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32205" cy="394335"/>
                      <wp:effectExtent l="0" t="0" r="1270" b="5715"/>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1132205" cy="394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9.1pt;height:31.0pt;mso-wrap-distance-left:0.0pt;mso-wrap-distance-top:0.0pt;mso-wrap-distance-right:0.0pt;mso-wrap-distance-bottom:0.0pt;" stroked="false">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12000*230*950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柱子150mm*150mm,门板35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p>
        </w:tc>
      </w:tr>
      <w:tr>
        <w:trPr>
          <w:gridAfter w:val="1"/>
          <w:trHeight w:val="112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924560" cy="824230"/>
                      <wp:effectExtent l="0" t="0" r="8890" b="4445"/>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2"/>
                              <a:stretch/>
                            </pic:blipFill>
                            <pic:spPr bwMode="auto">
                              <a:xfrm>
                                <a:off x="0" y="0"/>
                                <a:ext cx="924560" cy="824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64.9pt;mso-wrap-distance-left:0.0pt;mso-wrap-distance-top:0.0pt;mso-wrap-distance-right:0.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638*840*1050±10mm</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中心距：580±10mm，扶手宽：58±5mm，椅高：1050±10mm，扶手高：640±10mm，座高：460±10mm，座深：450±10mm，写字板到背：840±10mm</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1.背绵：采用冷发泡高回弹定型PU海绵一体发泡成型，密度高达55Kg/m3。</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2.座绵：采用冷发泡高回弹定型PU海绵一体发泡成型，密度60kg/m3。长时间使用不易变形；座绵内置1.5mm加厚钢架，采用黑色无纺布作隔层，座包不易变形，持久耐用；</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3.座、背外壳：座胶壳尺寸：465*455*105mm±5mm*厚度4mm，背胶壳尺寸：810*470*90mm±5mm*厚度3mm，采用优质PP(聚丙烯)多元素复合材质注塑成型；造型采用自然仿生学装饰搭配作为形态美学设计。</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4.布料：采用优质麻绒面料；椅背拉线定位并加垫丝光绵；</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5.椅脚：站脚采用优质铝合金，经专用模具一次性压铸成型，椅脚高度640mm,宽度55mm;扶手上端宽为493mm；扶手外部无减料槽做成完美的整体造型，增添</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线条美感；站脚底部有多条竖向加强筋；底部脚板长度380mm,安装地面螺钉孔距为350mm，扶手后端左右两面采用木制品装饰侧板，外贴高级面料及并覆厚度3mm棉布扪制而成独特设计造型，侧板尺寸527*357*50mm；</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6.写字板含机构：采用优质铝合金旋转机构，可旋转式写字板支撑架采用加长型，支撑力度更大书写更稳定，内部带最新款限位结构，可以保证人在使用过程中写字板机构回收及打开非常顺畅，杜绝磕碰；写字板面板为旋转式ABS材质写字板：长370*宽278*厚10mm，带笔槽（规格170*15mm）、带双层杯槽(φ65/80mm),便于放置书写笔和水杯。</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7.扶手盖：采用进口原木经5次抛光封漆而成，油漆采用台湾进口大宝油漆；</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8.回复功能：采用弹簧加阻尼回复机构。</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9.地爆螺钉：采用不锈钢内六角圆柱头螺钉与镀彩锌膨胀螺母。</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12</w:t>
            </w:r>
            <w:r/>
          </w:p>
        </w:tc>
      </w:tr>
      <w:tr>
        <w:trPr>
          <w:trHeight w:val="580"/>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小法庭（8</w:t>
            </w:r>
            <w:r>
              <w:rPr>
                <w:rFonts w:ascii="等线" w:hAnsi="等线" w:eastAsia="等线" w:cs="等线"/>
                <w:b/>
                <w:bCs/>
                <w:color w:val="000000"/>
                <w:lang w:bidi="ar"/>
              </w:rPr>
              <w:t xml:space="preserve">3</w:t>
            </w:r>
            <w:r>
              <w:rPr>
                <w:rFonts w:hint="eastAsia" w:ascii="等线" w:hAnsi="等线" w:eastAsia="等线" w:cs="等线"/>
                <w:b/>
                <w:bCs/>
                <w:color w:val="000000"/>
                <w:lang w:bidi="ar"/>
              </w:rPr>
              <w:t xml:space="preserve">m</w:t>
            </w:r>
            <w:r>
              <w:rPr>
                <w:rFonts w:ascii="等线" w:hAnsi="等线" w:eastAsia="等线" w:cs="等线"/>
                <w:b/>
                <w:bCs/>
                <w:color w:val="000000"/>
                <w:vertAlign w:val="superscript"/>
                <w:lang w:bidi="ar"/>
              </w:rPr>
              <w:t xml:space="preserve">2</w:t>
            </w:r>
            <w:r>
              <w:rPr>
                <w:rFonts w:hint="eastAsia" w:ascii="等线" w:hAnsi="等线" w:eastAsia="等线" w:cs="等线"/>
                <w:b/>
                <w:bCs/>
                <w:color w:val="000000"/>
                <w:lang w:bidi="ar"/>
              </w:rPr>
              <w:t xml:space="preserve">）</w:t>
            </w:r>
            <w:r/>
          </w:p>
        </w:tc>
      </w:tr>
      <w:tr>
        <w:trPr>
          <w:gridAfter w:val="1"/>
          <w:trHeight w:val="311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法官台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15060" cy="478790"/>
                      <wp:effectExtent l="0" t="0" r="8890" b="6985"/>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3"/>
                              <a:stretch/>
                            </pic:blipFill>
                            <pic:spPr bwMode="auto">
                              <a:xfrm>
                                <a:off x="0" y="0"/>
                                <a:ext cx="1115060" cy="478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7.8pt;height:37.7pt;mso-wrap-distance-left:0.0pt;mso-wrap-distance-top:0.0pt;mso-wrap-distance-right:0.0pt;mso-wrap-distance-bottom:0.0pt;" stroked="false">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4500*880*900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1701"/>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法官椅</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center"/>
              <w:widowControl/>
            </w:pPr>
            <w:r>
              <mc:AlternateContent>
                <mc:Choice Requires="wpg">
                  <w:drawing>
                    <wp:inline xmlns:wp="http://schemas.openxmlformats.org/drawingml/2006/wordprocessingDrawing" distT="0" distB="0" distL="0" distR="0">
                      <wp:extent cx="603885" cy="935355"/>
                      <wp:effectExtent l="0" t="0" r="5715" b="762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4"/>
                              <a:stretch/>
                            </pic:blipFill>
                            <pic:spPr bwMode="auto">
                              <a:xfrm>
                                <a:off x="0" y="0"/>
                                <a:ext cx="603885" cy="935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5pt;height:73.6pt;mso-wrap-distance-left:0.0pt;mso-wrap-distance-top:0.0pt;mso-wrap-distance-right:0.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680*600*1700</w:t>
            </w:r>
            <w:r/>
          </w:p>
        </w:tc>
        <w:tc>
          <w:tcPr>
            <w:shd w:val="clear" w:color="auto" w:fill="auto"/>
            <w:tcBorders>
              <w:top w:val="single" w:color="000000" w:sz="4" w:space="0"/>
              <w:left w:val="single" w:color="000000" w:sz="4" w:space="0"/>
              <w:right w:val="single" w:color="000000" w:sz="4" w:space="0"/>
            </w:tcBorders>
            <w:tcW w:w="8706" w:type="dxa"/>
            <w:vAlign w:val="center"/>
            <w:vMerge w:val="restart"/>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701"/>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680*600*1600</w:t>
            </w:r>
            <w:r/>
          </w:p>
        </w:tc>
        <w:tc>
          <w:tcPr>
            <w:shd w:val="clear" w:color="auto" w:fill="auto"/>
            <w:tcBorders>
              <w:left w:val="single" w:color="000000" w:sz="4" w:space="0"/>
              <w:bottom w:val="single" w:color="000000" w:sz="4" w:space="0"/>
              <w:right w:val="single" w:color="000000"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p>
        </w:tc>
      </w:tr>
      <w:tr>
        <w:trPr>
          <w:gridAfter w:val="1"/>
          <w:trHeight w:val="282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书记员桌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104140</wp:posOffset>
                      </wp:positionH>
                      <wp:positionV relativeFrom="paragraph">
                        <wp:posOffset>-390525</wp:posOffset>
                      </wp:positionV>
                      <wp:extent cx="968375" cy="608965"/>
                      <wp:effectExtent l="0" t="0" r="3175" b="635"/>
                      <wp:wrapNone/>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5"/>
                              <a:stretch/>
                            </pic:blipFill>
                            <pic:spPr bwMode="auto">
                              <a:xfrm>
                                <a:off x="0" y="0"/>
                                <a:ext cx="968375" cy="6089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8.2pt;mso-position-horizontal:absolute;mso-position-vertical-relative:text;margin-top:-30.8pt;mso-position-vertical:absolute;width:76.2pt;height:47.9pt;mso-wrap-distance-left:0.0pt;mso-wrap-distance-top:0.0pt;mso-wrap-distance-right:0.0pt;mso-wrap-distance-bottom:0.0pt;" stroked="false">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1600*700*760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394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书记员椅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662940" cy="1088390"/>
                      <wp:effectExtent l="0" t="0" r="3810" b="6985"/>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662940" cy="1088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2.2pt;height:85.7pt;mso-wrap-distance-left:0.0pt;mso-wrap-distance-top:0.0pt;mso-wrap-distance-right:0.0pt;mso-wrap-distance-bottom:0.0pt;" stroked="false">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sz w:val="20"/>
                <w:szCs w:val="20"/>
                <w:lang w:bidi="ar"/>
              </w:rPr>
            </w:pPr>
            <w:r>
              <w:rPr>
                <w:rFonts w:ascii="等线" w:hAnsi="等线" w:eastAsia="等线" w:cs="等线"/>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319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28700" cy="570230"/>
                      <wp:effectExtent l="0" t="0" r="0" b="127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7"/>
                              <a:stretch/>
                            </pic:blipFill>
                            <pic:spPr bwMode="auto">
                              <a:xfrm>
                                <a:off x="0" y="0"/>
                                <a:ext cx="1028700" cy="570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1.0pt;height:44.9pt;mso-wrap-distance-left:0.0pt;mso-wrap-distance-top:0.0pt;mso-wrap-distance-right:0.0pt;mso-wrap-distance-bottom:0.0pt;" stroked="false">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微软雅黑" w:hAnsi="微软雅黑" w:eastAsia="微软雅黑" w:cs="微软雅黑"/>
                <w:color w:val="262626"/>
                <w:sz w:val="18"/>
                <w:szCs w:val="18"/>
                <w:lang w:bidi="ar"/>
              </w:rPr>
            </w:pPr>
            <w:r>
              <w:rPr>
                <w:rFonts w:ascii="微软雅黑" w:hAnsi="微软雅黑" w:eastAsia="微软雅黑" w:cs="微软雅黑"/>
                <w:color w:val="262626"/>
                <w:sz w:val="18"/>
                <w:szCs w:val="18"/>
                <w:lang w:bidi="ar"/>
              </w:rPr>
              <w:t xml:space="preserve">2200*700*760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p>
        </w:tc>
      </w:tr>
      <w:tr>
        <w:trPr>
          <w:gridAfter w:val="1"/>
          <w:trHeight w:val="210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608965" cy="1011555"/>
                      <wp:effectExtent l="0" t="0" r="635" b="762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608965"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9pt;height:79.6pt;mso-wrap-distance-left:0.0pt;mso-wrap-distance-top:0.0pt;mso-wrap-distance-right:0.0pt;mso-wrap-distance-bottom:0.0pt;" stroked="false">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t xml:space="preserve">1</w:t>
            </w:r>
            <w:r>
              <w:rPr>
                <w:rFonts w:hint="eastAsia" w:ascii="等线" w:hAnsi="等线" w:eastAsia="等线" w:cs="等线"/>
                <w:color w:val="000000"/>
                <w:sz w:val="16"/>
                <w:szCs w:val="16"/>
                <w:lang w:bidi="ar"/>
              </w:rPr>
              <w:t xml:space="preserve">.实木方符合GB/T3324-2024标准，检测内容至少包括：甲醛释放量（干燥器法），含水率，抗弯强度，抗弯弹性模量，硬度；均合格。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p>
        </w:tc>
      </w:tr>
      <w:tr>
        <w:trPr>
          <w:gridAfter w:val="1"/>
          <w:trHeight w:val="311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w:t>
            </w:r>
            <w:r>
              <w:rPr>
                <w:rFonts w:ascii="等线" w:hAnsi="等线" w:eastAsia="等线" w:cs="等线"/>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旁听席座椅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92835" cy="546735"/>
                      <wp:effectExtent l="0" t="0" r="2540" b="5715"/>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1092835" cy="546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6.0pt;height:43.0pt;mso-wrap-distance-left:0.0pt;mso-wrap-distance-top:0.0pt;mso-wrap-distance-right:0.0pt;mso-wrap-distance-bottom:0.0pt;" stroked="false">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2400*550*1100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侧板台脚40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p>
        </w:tc>
      </w:tr>
      <w:tr>
        <w:trPr>
          <w:gridAfter w:val="1"/>
          <w:trHeight w:val="358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w:t>
            </w:r>
            <w:r>
              <w:rPr>
                <w:rFonts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法庭隔断</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1134745" cy="467995"/>
                      <wp:effectExtent l="0" t="0" r="8255" b="8255"/>
                      <wp:docPr id="1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1134745" cy="467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9.3pt;height:36.9pt;mso-wrap-distance-left:0.0pt;mso-wrap-distance-top:0.0pt;mso-wrap-distance-right:0.0pt;mso-wrap-distance-bottom:0.0pt;" stroked="false">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8400*230*950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柱子150mm*150mm,门板35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trHeight w:val="399"/>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小法庭（</w:t>
            </w:r>
            <w:r>
              <w:rPr>
                <w:rFonts w:ascii="等线" w:hAnsi="等线" w:eastAsia="等线" w:cs="等线"/>
                <w:b/>
                <w:bCs/>
                <w:color w:val="000000"/>
                <w:lang w:bidi="ar"/>
              </w:rPr>
              <w:t xml:space="preserve">3</w:t>
            </w:r>
            <w:r>
              <w:rPr>
                <w:rFonts w:hint="eastAsia" w:ascii="等线" w:hAnsi="等线" w:eastAsia="等线" w:cs="等线"/>
                <w:b/>
                <w:bCs/>
                <w:color w:val="000000"/>
                <w:lang w:bidi="ar"/>
              </w:rPr>
              <w:t xml:space="preserve">间：8</w:t>
            </w:r>
            <w:r>
              <w:rPr>
                <w:rFonts w:ascii="等线" w:hAnsi="等线" w:eastAsia="等线" w:cs="等线"/>
                <w:b/>
                <w:bCs/>
                <w:color w:val="000000"/>
                <w:lang w:bidi="ar"/>
              </w:rPr>
              <w:t xml:space="preserve">0</w:t>
            </w:r>
            <w:bookmarkStart w:id="502" w:name="OLE_LINK6"/>
            <w:r>
              <w:rPr>
                <w:rFonts w:hint="eastAsia" w:ascii="等线" w:hAnsi="等线" w:eastAsia="等线" w:cs="等线"/>
                <w:b/>
                <w:bCs/>
                <w:color w:val="000000"/>
                <w:lang w:bidi="ar"/>
              </w:rPr>
              <w:t xml:space="preserve">m</w:t>
            </w:r>
            <w:r>
              <w:rPr>
                <w:rFonts w:ascii="等线" w:hAnsi="等线" w:eastAsia="等线" w:cs="等线"/>
                <w:b/>
                <w:bCs/>
                <w:color w:val="000000"/>
                <w:vertAlign w:val="superscript"/>
                <w:lang w:bidi="ar"/>
              </w:rPr>
              <w:t xml:space="preserve">2</w:t>
            </w:r>
            <w:bookmarkEnd w:id="502"/>
            <w:r>
              <w:rPr>
                <w:rFonts w:hint="eastAsia" w:ascii="等线" w:hAnsi="等线" w:eastAsia="等线" w:cs="等线"/>
                <w:b/>
                <w:bCs/>
                <w:color w:val="000000"/>
                <w:lang w:bidi="ar"/>
              </w:rPr>
              <w:t xml:space="preserve">、</w:t>
            </w:r>
            <w:r>
              <w:rPr>
                <w:rFonts w:ascii="等线" w:hAnsi="等线" w:eastAsia="等线" w:cs="等线"/>
                <w:b/>
                <w:bCs/>
                <w:color w:val="000000"/>
                <w:lang w:bidi="ar"/>
              </w:rPr>
              <w:t xml:space="preserve">90</w:t>
            </w:r>
            <w:r>
              <w:rPr>
                <w:rFonts w:hint="eastAsia" w:ascii="等线" w:hAnsi="等线" w:eastAsia="等线" w:cs="等线"/>
                <w:b/>
                <w:bCs/>
                <w:color w:val="000000"/>
                <w:lang w:bidi="ar"/>
              </w:rPr>
              <w:t xml:space="preserve"> m</w:t>
            </w:r>
            <w:r>
              <w:rPr>
                <w:rFonts w:ascii="等线" w:hAnsi="等线" w:eastAsia="等线" w:cs="等线"/>
                <w:b/>
                <w:bCs/>
                <w:color w:val="000000"/>
                <w:vertAlign w:val="superscript"/>
                <w:lang w:bidi="ar"/>
              </w:rPr>
              <w:t xml:space="preserve">2</w:t>
            </w:r>
            <w:r>
              <w:rPr>
                <w:rFonts w:hint="eastAsia" w:ascii="等线" w:hAnsi="等线" w:eastAsia="等线" w:cs="等线"/>
                <w:b/>
                <w:bCs/>
                <w:color w:val="000000"/>
                <w:vertAlign w:val="superscript"/>
                <w:lang w:bidi="ar"/>
              </w:rPr>
              <w:t xml:space="preserve"> </w:t>
            </w:r>
            <w:r>
              <w:rPr>
                <w:rFonts w:hint="eastAsia" w:ascii="等线" w:hAnsi="等线" w:eastAsia="等线" w:cs="等线"/>
                <w:b/>
                <w:bCs/>
                <w:color w:val="000000"/>
                <w:lang w:bidi="ar"/>
              </w:rPr>
              <w:t xml:space="preserve">、8</w:t>
            </w:r>
            <w:r>
              <w:rPr>
                <w:rFonts w:ascii="等线" w:hAnsi="等线" w:eastAsia="等线" w:cs="等线"/>
                <w:b/>
                <w:bCs/>
                <w:color w:val="000000"/>
                <w:lang w:bidi="ar"/>
              </w:rPr>
              <w:t xml:space="preserve">1</w:t>
            </w:r>
            <w:r>
              <w:rPr>
                <w:rFonts w:hint="eastAsia" w:ascii="等线" w:hAnsi="等线" w:eastAsia="等线" w:cs="等线"/>
                <w:b/>
                <w:bCs/>
                <w:color w:val="000000"/>
                <w:lang w:bidi="ar"/>
              </w:rPr>
              <w:t xml:space="preserve">m</w:t>
            </w:r>
            <w:r>
              <w:rPr>
                <w:rFonts w:ascii="等线" w:hAnsi="等线" w:eastAsia="等线" w:cs="等线"/>
                <w:b/>
                <w:bCs/>
                <w:color w:val="000000"/>
                <w:vertAlign w:val="superscript"/>
                <w:lang w:bidi="ar"/>
              </w:rPr>
              <w:t xml:space="preserve">2</w:t>
            </w:r>
            <w:r>
              <w:rPr>
                <w:rFonts w:hint="eastAsia" w:ascii="等线" w:hAnsi="等线" w:eastAsia="等线" w:cs="等线"/>
                <w:b/>
                <w:bCs/>
                <w:color w:val="000000"/>
                <w:lang w:bidi="ar"/>
              </w:rPr>
              <w:t xml:space="preserve">）</w:t>
            </w:r>
            <w:r/>
          </w:p>
        </w:tc>
      </w:tr>
      <w:tr>
        <w:trPr>
          <w:gridAfter w:val="1"/>
          <w:trHeight w:val="340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法官台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93470" cy="474980"/>
                      <wp:effectExtent l="0" t="0" r="1905" b="1270"/>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1093470" cy="474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6.1pt;height:37.4pt;mso-wrap-distance-left:0.0pt;mso-wrap-distance-top:0.0pt;mso-wrap-distance-right:0.0pt;mso-wrap-distance-bottom:0.0pt;" stroked="false">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4500*880*900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r>
      <w:tr>
        <w:trPr>
          <w:gridAfter w:val="1"/>
          <w:trHeight w:val="2106"/>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法官椅</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568960" cy="869950"/>
                      <wp:effectExtent l="0" t="0" r="2540" b="6350"/>
                      <wp:docPr id="2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568960" cy="869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4.8pt;height:68.5pt;mso-wrap-distance-left:0.0pt;mso-wrap-distance-top:0.0pt;mso-wrap-distance-right:0.0pt;mso-wrap-distance-bottom:0.0pt;" stroked="false">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80*600*1700</w:t>
            </w:r>
            <w:r/>
          </w:p>
        </w:tc>
        <w:tc>
          <w:tcPr>
            <w:shd w:val="clear" w:color="auto" w:fill="auto"/>
            <w:tcBorders>
              <w:top w:val="single" w:color="000000" w:sz="4" w:space="0"/>
              <w:left w:val="single" w:color="000000" w:sz="4" w:space="0"/>
              <w:right w:val="single" w:color="000000" w:sz="4" w:space="0"/>
            </w:tcBorders>
            <w:tcW w:w="8706" w:type="dxa"/>
            <w:vAlign w:val="center"/>
            <w:vMerge w:val="restart"/>
            <w:textDirection w:val="lrTb"/>
            <w:noWrap w:val="false"/>
          </w:tcPr>
          <w:p>
            <w:pPr>
              <w:jc w:val="left"/>
              <w:widowControl/>
              <w:rPr>
                <w:rFonts w:ascii="等线" w:hAnsi="等线" w:eastAsia="等线" w:cs="等线"/>
                <w:color w:val="000000"/>
                <w:sz w:val="16"/>
                <w:szCs w:val="16"/>
              </w:rPr>
            </w:pPr>
            <w:r>
              <w:rPr>
                <w:rFonts w:hint="eastAsia" w:ascii="等线" w:hAnsi="等线" w:eastAsia="等线" w:cs="等线"/>
                <w:color w:val="000000"/>
                <w:sz w:val="16"/>
                <w:szCs w:val="16"/>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rPr>
              <w:br/>
            </w:r>
            <w:r>
              <w:rPr>
                <w:rFonts w:hint="eastAsia" w:ascii="等线" w:hAnsi="等线" w:eastAsia="等线" w:cs="等线"/>
                <w:color w:val="000000"/>
                <w:sz w:val="16"/>
                <w:szCs w:val="16"/>
              </w:rPr>
              <w:t xml:space="preserve">2.阻燃海绵符合GB/T10802-2023、GB/</w:t>
            </w:r>
            <w:r>
              <w:rPr>
                <w:rFonts w:hint="eastAsia" w:ascii="等线" w:hAnsi="等线" w:eastAsia="等线" w:cs="等线"/>
                <w:color w:val="000000"/>
                <w:sz w:val="16"/>
                <w:szCs w:val="16"/>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rPr>
              <w:t xml:space="preserve">4.净味油漆符合GB18581-2020、JC/T 1074-2021、CB/T 23997-2009、HJ/T 414-2007、GB/T 42898-2023标准；检测内容至少包括：VOC含量；苯含量；</w:t>
            </w:r>
            <w:r>
              <w:rPr>
                <w:rFonts w:hint="eastAsia" w:ascii="等线" w:hAnsi="等线" w:eastAsia="等线" w:cs="等线"/>
                <w:color w:val="000000"/>
                <w:sz w:val="16"/>
                <w:szCs w:val="16"/>
              </w:rPr>
              <w:br/>
            </w:r>
            <w:r>
              <w:rPr>
                <w:rFonts w:hint="eastAsia" w:ascii="等线" w:hAnsi="等线" w:eastAsia="等线" w:cs="等线"/>
                <w:color w:val="000000"/>
                <w:sz w:val="16"/>
                <w:szCs w:val="16"/>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rPr>
              <w:br/>
            </w:r>
            <w:r>
              <w:rPr>
                <w:rFonts w:hint="eastAsia" w:ascii="等线" w:hAnsi="等线" w:eastAsia="等线" w:cs="等线"/>
                <w:color w:val="000000"/>
                <w:sz w:val="16"/>
                <w:szCs w:val="16"/>
              </w:rPr>
              <w:t xml:space="preserve">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bookmarkStart w:id="503" w:name="OLE_LINK7"/>
            <w:r>
              <w:rPr>
                <w:rFonts w:hint="eastAsia" w:ascii="等线" w:hAnsi="等线" w:eastAsia="等线" w:cs="等线"/>
                <w:color w:val="000000"/>
                <w:sz w:val="20"/>
                <w:szCs w:val="20"/>
                <w:lang w:bidi="ar"/>
              </w:rPr>
              <w:t xml:space="preserve">张</w:t>
            </w:r>
            <w:bookmarkEnd w:id="503"/>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r>
      <w:tr>
        <w:trPr>
          <w:gridAfter w:val="1"/>
          <w:trHeight w:val="1978"/>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left"/>
              <w:widowControl/>
              <w:rPr>
                <w:rFonts w:ascii="等线" w:hAnsi="等线" w:eastAsia="等线" w:cs="等线"/>
                <w:color w:val="000000"/>
                <w:sz w:val="16"/>
                <w:szCs w:val="16"/>
              </w:rPr>
            </w:pPr>
            <w:r>
              <w:rPr>
                <w:rFonts w:ascii="等线" w:hAnsi="等线" w:eastAsia="等线" w:cs="等线"/>
                <w:color w:val="000000"/>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680*600*1600</w:t>
            </w:r>
            <w:r/>
          </w:p>
        </w:tc>
        <w:tc>
          <w:tcPr>
            <w:shd w:val="clear" w:color="auto" w:fill="auto"/>
            <w:tcBorders>
              <w:left w:val="single" w:color="000000" w:sz="4" w:space="0"/>
              <w:bottom w:val="single" w:color="000000" w:sz="4" w:space="0"/>
              <w:right w:val="single" w:color="000000" w:sz="4" w:space="0"/>
            </w:tcBorders>
            <w:tcW w:w="8706" w:type="dxa"/>
            <w:vAlign w:val="center"/>
            <w:vMerge w:val="continue"/>
            <w:textDirection w:val="lrTb"/>
            <w:noWrap w:val="false"/>
          </w:tcPr>
          <w:p>
            <w:pPr>
              <w:jc w:val="left"/>
              <w:widowControl/>
              <w:rPr>
                <w:rFonts w:ascii="等线" w:hAnsi="等线" w:eastAsia="等线" w:cs="等线"/>
                <w:color w:val="000000"/>
                <w:sz w:val="16"/>
                <w:szCs w:val="16"/>
              </w:rPr>
            </w:pPr>
            <w:r>
              <w:rPr>
                <w:rFonts w:ascii="等线" w:hAnsi="等线" w:eastAsia="等线" w:cs="等线"/>
                <w:color w:val="000000"/>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书记员桌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67435" cy="666115"/>
                      <wp:effectExtent l="0" t="0" r="8890" b="635"/>
                      <wp:docPr id="2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1067435" cy="6661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4.0pt;height:52.4pt;mso-wrap-distance-left:0.0pt;mso-wrap-distance-top:0.0pt;mso-wrap-distance-right:0.0pt;mso-wrap-distance-bottom:0.0pt;" stroked="false">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1600*700*760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w:t>
            </w:r>
            <w:r/>
          </w:p>
        </w:tc>
      </w:tr>
      <w:tr>
        <w:trPr>
          <w:gridAfter w:val="1"/>
          <w:trHeight w:val="340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书记员椅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610870" cy="1000125"/>
                      <wp:effectExtent l="0" t="0" r="8255" b="0"/>
                      <wp:docPr id="2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610870" cy="1000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8.1pt;height:78.8pt;mso-wrap-distance-left:0.0pt;mso-wrap-distance-top:0.0pt;mso-wrap-distance-right:0.0pt;mso-wrap-distance-bottom:0.0pt;" stroked="false">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r>
      <w:tr>
        <w:trPr>
          <w:gridAfter w:val="1"/>
          <w:trHeight w:val="289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37590" cy="573405"/>
                      <wp:effectExtent l="0" t="0" r="635" b="7620"/>
                      <wp:docPr id="2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5"/>
                              <a:stretch/>
                            </pic:blipFill>
                            <pic:spPr bwMode="auto">
                              <a:xfrm>
                                <a:off x="0" y="0"/>
                                <a:ext cx="1037590" cy="573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81.7pt;height:45.1pt;mso-wrap-distance-left:0.0pt;mso-wrap-distance-top:0.0pt;mso-wrap-distance-right:0.0pt;mso-wrap-distance-bottom:0.0pt;" stroked="false">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2200*700*760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台脚25mm,其余16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p>
        </w:tc>
      </w:tr>
      <w:tr>
        <w:trPr>
          <w:gridAfter w:val="1"/>
          <w:trHeight w:val="39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694055" cy="1174750"/>
                      <wp:effectExtent l="0" t="0" r="1270" b="6350"/>
                      <wp:docPr id="2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694055" cy="1174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6pt;height:92.5pt;mso-wrap-distance-left:0.0pt;mso-wrap-distance-top:0.0pt;mso-wrap-distance-right:0.0pt;mso-wrap-distance-bottom:0.0pt;" stroked="false">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18</w:t>
            </w:r>
            <w:r/>
          </w:p>
        </w:tc>
      </w:tr>
      <w:tr>
        <w:trPr>
          <w:gridAfter w:val="1"/>
          <w:trHeight w:val="2856"/>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旁听席座椅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93470" cy="506095"/>
                      <wp:effectExtent l="0" t="0" r="1905" b="8255"/>
                      <wp:docPr id="2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1093470" cy="50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6.1pt;height:39.9pt;mso-wrap-distance-left:0.0pt;mso-wrap-distance-top:0.0pt;mso-wrap-distance-right:0.0pt;mso-wrap-distance-bottom:0.0pt;" stroked="false">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1800*550*1100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侧板台脚40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auto"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26</w:t>
            </w:r>
            <w:r/>
          </w:p>
        </w:tc>
      </w:tr>
      <w:tr>
        <w:trPr>
          <w:gridAfter w:val="1"/>
          <w:trHeight w:val="774"/>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16"/>
                <w:szCs w:val="16"/>
              </w:rPr>
            </w:pPr>
            <w:r>
              <w:rPr>
                <w:rFonts w:ascii="等线" w:hAnsi="等线" w:eastAsia="等线" w:cs="等线"/>
                <w:color w:val="000000"/>
                <w:sz w:val="20"/>
                <w:szCs w:val="20"/>
                <w:lang w:bidi="ar"/>
              </w:rPr>
              <w:t xml:space="preserve">26</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16"/>
                <w:szCs w:val="16"/>
              </w:rPr>
            </w:pPr>
            <w:r>
              <w:rPr>
                <w:rFonts w:hint="eastAsia" w:ascii="等线" w:hAnsi="等线" w:eastAsia="等线" w:cs="等线"/>
                <w:color w:val="000000"/>
                <w:sz w:val="20"/>
                <w:szCs w:val="20"/>
                <w:lang w:bidi="ar"/>
              </w:rPr>
              <w:t xml:space="preserve">法庭隔断</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19505" cy="357505"/>
                      <wp:effectExtent l="0" t="0" r="4445" b="4445"/>
                      <wp:docPr id="2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8"/>
                              <a:stretch/>
                            </pic:blipFill>
                            <pic:spPr bwMode="auto">
                              <a:xfrm>
                                <a:off x="0" y="0"/>
                                <a:ext cx="1119505" cy="357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8.1pt;height:28.1pt;mso-wrap-distance-left:0.0pt;mso-wrap-distance-top:0.0pt;mso-wrap-distance-right:0.0pt;mso-wrap-distance-bottom:0.0pt;" stroked="false">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rPr>
              <w:t xml:space="preserve">8000*230*950</w:t>
            </w:r>
            <w:r/>
          </w:p>
        </w:tc>
        <w:tc>
          <w:tcPr>
            <w:shd w:val="clear" w:color="auto" w:fill="auto"/>
            <w:tcBorders>
              <w:top w:val="single" w:color="000000" w:sz="4" w:space="0"/>
              <w:left w:val="single" w:color="000000" w:sz="4" w:space="0"/>
              <w:right w:val="single" w:color="auto" w:sz="4" w:space="0"/>
            </w:tcBorders>
            <w:tcW w:w="8706" w:type="dxa"/>
            <w:vAlign w:val="center"/>
            <w:vMerge w:val="restart"/>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柱子150mm*150mm,门板35mm)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物；1VOC 含量；卤代烃；急性皮肤刺激性/腐蚀性试验：无刺激性</w:t>
            </w:r>
            <w:r/>
          </w:p>
        </w:tc>
        <w:tc>
          <w:tcPr>
            <w:shd w:val="clear" w:color="auto" w:fill="auto"/>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982"/>
        </w:trPr>
        <w:tc>
          <w:tcPr>
            <w:shd w:val="clear" w:color="auto" w:fill="auto"/>
            <w:tcBorders>
              <w:left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right w:val="single" w:color="000000" w:sz="4" w:space="0"/>
            </w:tcBorders>
            <w:tcW w:w="2047" w:type="dxa"/>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rPr>
              <w:t xml:space="preserve">6900*230*950</w:t>
            </w:r>
            <w:r/>
          </w:p>
        </w:tc>
        <w:tc>
          <w:tcPr>
            <w:shd w:val="clear" w:color="auto" w:fill="auto"/>
            <w:tcBorders>
              <w:left w:val="single" w:color="000000" w:sz="4" w:space="0"/>
              <w:right w:val="single" w:color="auto"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116"/>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rPr>
              <w:t xml:space="preserve">6200*230*950</w:t>
            </w:r>
            <w:r/>
          </w:p>
        </w:tc>
        <w:tc>
          <w:tcPr>
            <w:shd w:val="clear" w:color="auto" w:fill="auto"/>
            <w:tcBorders>
              <w:left w:val="single" w:color="000000" w:sz="4" w:space="0"/>
              <w:bottom w:val="single" w:color="000000" w:sz="4" w:space="0"/>
              <w:right w:val="single" w:color="auto"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567"/>
        </w:trPr>
        <w:tc>
          <w:tcPr>
            <w:gridSpan w:val="7"/>
            <w:shd w:val="clear" w:color="auto" w:fill="auto"/>
            <w:tcBorders>
              <w:left w:val="single" w:color="000000" w:sz="4" w:space="0"/>
              <w:bottom w:val="single" w:color="000000" w:sz="4" w:space="0"/>
              <w:right w:val="single" w:color="auto" w:sz="4" w:space="0"/>
            </w:tcBorders>
            <w:tcW w:w="14399" w:type="dxa"/>
            <w:vAlign w:val="center"/>
            <w:textDirection w:val="lrTb"/>
            <w:noWrap w:val="false"/>
          </w:tcPr>
          <w:p>
            <w:pPr>
              <w:jc w:val="left"/>
              <w:widowControl/>
              <w:rPr>
                <w:rFonts w:cs="等线" w:asciiTheme="majorEastAsia" w:hAnsiTheme="majorEastAsia" w:eastAsiaTheme="majorEastAsia"/>
                <w:color w:val="000000"/>
                <w:sz w:val="20"/>
                <w:szCs w:val="20"/>
                <w:lang w:bidi="ar"/>
              </w:rPr>
            </w:pPr>
            <w:r>
              <w:rPr>
                <w:rFonts w:hint="eastAsia" w:ascii="等线" w:hAnsi="等线" w:eastAsia="等线" w:cs="等线"/>
                <w:b/>
                <w:bCs/>
                <w:color w:val="000000"/>
                <w:lang w:bidi="ar"/>
              </w:rPr>
              <w:t xml:space="preserve">书吧</w:t>
            </w:r>
            <w:r/>
          </w:p>
        </w:tc>
      </w:tr>
      <w:tr>
        <w:trPr>
          <w:gridAfter w:val="1"/>
          <w:trHeight w:val="218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667385" cy="774700"/>
                      <wp:effectExtent l="0" t="0" r="8890" b="6350"/>
                      <wp:docPr id="2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39"/>
                              <a:stretch/>
                            </pic:blipFill>
                            <pic:spPr bwMode="auto">
                              <a:xfrm>
                                <a:off x="0" y="0"/>
                                <a:ext cx="667385" cy="774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2.5pt;height:61.0pt;mso-wrap-distance-left:0.0pt;mso-wrap-distance-top:0.0pt;mso-wrap-distance-right:0.0pt;mso-wrap-distance-bottom:0.0pt;" stroked="false">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直径</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1.主材实木多层板(面板25mm)符合GB/T 347</w:t>
            </w:r>
            <w:r>
              <w:rPr>
                <w:rFonts w:hint="eastAsia" w:ascii="等线" w:hAnsi="等线" w:eastAsia="等线" w:cs="等线"/>
                <w:color w:val="000000"/>
                <w:sz w:val="16"/>
                <w:szCs w:val="16"/>
                <w:lang w:bidi="ar"/>
              </w:rPr>
              <w:t xml:space="preserve">22-2017、GB/T 9846-2015 、GB/T 17657-2022 、GB 18580-2017 、GB/T 39600-2021 、GB/T 29899-2024、GB/T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auto"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364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书桌椅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116840</wp:posOffset>
                      </wp:positionH>
                      <wp:positionV relativeFrom="paragraph">
                        <wp:posOffset>-226060</wp:posOffset>
                      </wp:positionV>
                      <wp:extent cx="886460" cy="986155"/>
                      <wp:effectExtent l="0" t="0" r="8890" b="4445"/>
                      <wp:wrapNone/>
                      <wp:docPr id="2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0"/>
                              <a:stretch/>
                            </pic:blipFill>
                            <pic:spPr bwMode="auto">
                              <a:xfrm>
                                <a:off x="0" y="0"/>
                                <a:ext cx="886460" cy="9861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9.2pt;mso-position-horizontal:absolute;mso-position-vertical-relative:text;margin-top:-17.8pt;mso-position-vertical:absolute;width:69.8pt;height:77.6pt;mso-wrap-distance-left:0.0pt;mso-wrap-distance-top:0.0pt;mso-wrap-distance-right:0.0pt;mso-wrap-distance-bottom:0.0pt;" stroked="false">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3.▲西皮符合QB/T 4045-2010 、GB/T 19942-2019 、GB/T 38402-2019、SN/T 5319-2021 、GB/T 38401-2019 、GB/T 16799-2018 标准，检测内容至少</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包括：pH，甲醛释放量，色牢度（沾</w:t>
            </w:r>
            <w:r>
              <w:rPr>
                <w:rFonts w:hint="eastAsia" w:ascii="等线" w:hAnsi="等线" w:eastAsia="等线" w:cs="等线"/>
                <w:color w:val="000000"/>
                <w:sz w:val="16"/>
                <w:szCs w:val="16"/>
                <w:lang w:bidi="ar"/>
              </w:rPr>
              <w:t xml:space="preserve">色），无异常气味，皮革和毛皮中六价铬含量，N，N-二甲基甲酰胺含量；耐磨性；禁用偶氮染料；均合格。                                                                                                        4.净味油漆符合GB18581-2020、JC/T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w:t>
            </w:r>
            <w:r/>
          </w:p>
        </w:tc>
        <w:tc>
          <w:tcPr>
            <w:shd w:val="clear" w:color="auto" w:fill="auto"/>
            <w:tcBorders>
              <w:top w:val="single" w:color="auto"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16</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定制书柜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16915" cy="1182370"/>
                      <wp:effectExtent l="0" t="0" r="6985" b="8255"/>
                      <wp:docPr id="3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1"/>
                              <a:stretch/>
                            </pic:blipFill>
                            <pic:spPr bwMode="auto">
                              <a:xfrm>
                                <a:off x="0" y="0"/>
                                <a:ext cx="716915" cy="118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6.4pt;height:93.1pt;mso-wrap-distance-left:0.0pt;mso-wrap-distance-top:0.0pt;mso-wrap-distance-right:0.0pt;mso-wrap-distance-bottom:0.0pt;" stroked="false">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800*350*2200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1.主材实木多层板(16</w:t>
            </w:r>
            <w:r>
              <w:rPr>
                <w:rFonts w:hint="eastAsia" w:ascii="等线" w:hAnsi="等线" w:eastAsia="等线" w:cs="等线"/>
                <w:color w:val="000000"/>
                <w:sz w:val="16"/>
                <w:szCs w:val="16"/>
                <w:lang w:bidi="ar"/>
              </w:rPr>
              <w:t xml:space="preserve">mm)符合GB/T 34722-2017、GB/T 9846-2015 、GB/T 17657-2022 、GB 18580-2017 、GB/T 39600-2021 、GB/T 29899-2024 、GB/T 44690-2024、GB/T 44689-2024标准，检测内容至少包括：外观质量合格，规格尺寸及其偏差合格，含水率，静曲强度，弹性模量，握螺钉力，2h吸水厚度膨胀率，耐高温性能无裂纹，甲醛释放量，苯，甲苯，二甲苯，总挥发性有机化合物（TVOC），抗菌性能抑菌率，防霉性能；气味等级，萘，苯酚；</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4.热熔胶符合GB18583-2008、HJ2541-2016、GB/T42898-2023、GB/T21604-2022标准；检测内容至少包括：游离甲醛；苯；甲苯+乙苯+二甲苯；卤代烃；</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总挥发性有机物（TSVOC）均合格；急性皮肤刺激性/腐蚀性试验：无刺激性；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9</w:t>
            </w:r>
            <w:r/>
          </w:p>
        </w:tc>
      </w:tr>
      <w:tr>
        <w:trPr>
          <w:gridAfter w:val="1"/>
          <w:trHeight w:val="254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669290" cy="1103630"/>
                      <wp:effectExtent l="0" t="0" r="6985" b="1270"/>
                      <wp:docPr id="3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1"/>
                              <a:stretch/>
                            </pic:blipFill>
                            <pic:spPr bwMode="auto">
                              <a:xfrm>
                                <a:off x="0" y="0"/>
                                <a:ext cx="669290" cy="1103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2.7pt;height:86.9pt;mso-wrap-distance-left:0.0pt;mso-wrap-distance-top:0.0pt;mso-wrap-distance-right:0.0pt;mso-wrap-distance-bottom:0.0pt;" stroked="false">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1100*350*2200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1.主材实木多层板(16</w:t>
            </w:r>
            <w:r>
              <w:rPr>
                <w:rFonts w:hint="eastAsia" w:ascii="等线" w:hAnsi="等线" w:eastAsia="等线" w:cs="等线"/>
                <w:color w:val="000000"/>
                <w:sz w:val="16"/>
                <w:szCs w:val="16"/>
                <w:lang w:bidi="ar"/>
              </w:rPr>
              <w:t xml:space="preserve">mm)符合GB/T 34722-2017、GB/T 9846-2015 、GB/T 17657-2022 、GB 18580-2017 、GB/T 39600-2021 、GB/T 29899-2024 、GB/T 44690-2024、GB/T 44689-2024标准，检测内容至少包括：外观质量合格，规格尺寸及其偏差合格，含水率，静曲强度，弹性模量，握螺钉力，2h吸水厚度膨胀率，耐高温性能无裂纹，甲醛释放量，苯，甲苯，二甲苯，总挥发性有机化合物（TVOC），抗菌性能抑菌率，防霉性能；气味等级，萘，苯酚；</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4.热熔胶符合GB18583-2008、HJ2541-2016、GB/T42898-2023、GB/T21604-2022标准；检测内容至少包括：游离甲醛；苯；甲苯+乙苯+二甲苯；卤代烃；</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总挥发性有机物（TSVOC）均合格；急性皮肤刺激性/腐蚀性试验：无刺激性；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3</w:t>
            </w:r>
            <w:r/>
          </w:p>
        </w:tc>
      </w:tr>
      <w:tr>
        <w:trPr>
          <w:gridAfter w:val="1"/>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服务柜台</w:t>
            </w:r>
            <w:r/>
          </w:p>
        </w:tc>
      </w:tr>
      <w:tr>
        <w:trPr>
          <w:gridAfter w:val="1"/>
          <w:trHeight w:val="425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胶板办公桌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41400" cy="751205"/>
                      <wp:effectExtent l="0" t="0" r="6350" b="1270"/>
                      <wp:docPr id="3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2"/>
                              <a:stretch/>
                            </pic:blipFill>
                            <pic:spPr bwMode="auto">
                              <a:xfrm>
                                <a:off x="0" y="0"/>
                                <a:ext cx="1041400" cy="751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2.0pt;height:59.1pt;mso-wrap-distance-left:0.0pt;mso-wrap-distance-top:0.0pt;mso-wrap-distance-right:0.0pt;mso-wrap-distance-bottom:0.0pt;" stroked="false">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4.胶粘剂符合GB18583-2008、HJ2541-2016、GB33372-2020、GB/T21604-2022标准；检测内容至少包括：游离甲醛；苯；甲苯+二甲苯；总挥发性有机物；1VOC 含量；卤代烃；急性皮肤刺激性/腐蚀性试验：无刺激性。</w:t>
            </w:r>
            <w:r/>
          </w:p>
          <w:p>
            <w:pPr>
              <w:jc w:val="left"/>
              <w:widowControl/>
              <w:rPr>
                <w:rFonts w:ascii="等线" w:hAnsi="等线" w:eastAsia="等线" w:cs="等线"/>
                <w:color w:val="000000"/>
                <w:sz w:val="16"/>
                <w:szCs w:val="16"/>
              </w:rPr>
            </w:pPr>
            <w:r>
              <w:rPr>
                <w:rFonts w:ascii="等线" w:hAnsi="等线" w:eastAsia="等线" w:cs="等线"/>
                <w:color w:val="000000"/>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4</w:t>
            </w:r>
            <w:r/>
          </w:p>
        </w:tc>
      </w:tr>
      <w:tr>
        <w:trPr>
          <w:gridAfter w:val="1"/>
          <w:trHeight w:val="425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职员椅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58825" cy="1028700"/>
                      <wp:effectExtent l="0" t="0" r="3175" b="0"/>
                      <wp:docPr id="3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3"/>
                              <a:stretch/>
                            </pic:blipFill>
                            <pic:spPr bwMode="auto">
                              <a:xfrm>
                                <a:off x="0" y="0"/>
                                <a:ext cx="758825"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9.8pt;height:81.0pt;mso-wrap-distance-left:0.0pt;mso-wrap-distance-top:0.0pt;mso-wrap-distance-right:0.0pt;mso-wrap-distance-bottom:0.0pt;" stroked="false">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550*600*1030-1250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3.▲防爆底盘机构符合GB/T 10125-2021标准；检测内容至少包括：人造气氛腐蚀试验（盐雾试验）：铜加速乙酸盐雾（CASS）试验周期100h，起泡：起泡等级0（S0）、生锈：生锈等级Ri0、开裂：开裂等级0（S0）、剥落：剥落等级0（S0）..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39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42950" cy="886460"/>
                      <wp:effectExtent l="0" t="0" r="0" b="8890"/>
                      <wp:docPr id="3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4"/>
                              <a:stretch/>
                            </pic:blipFill>
                            <pic:spPr bwMode="auto">
                              <a:xfrm>
                                <a:off x="0" y="0"/>
                                <a:ext cx="742950" cy="886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5pt;height:69.8pt;mso-wrap-distance-left:0.0pt;mso-wrap-distance-top:0.0pt;mso-wrap-distance-right:0.0pt;mso-wrap-distance-bottom:0.0pt;" stroked="false">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4.弓形脚符合GB/T 10125-2021标准；检测内容至少包括：人造气氛腐蚀试验（盐雾试验）：铜加速乙酸盐雾（CASS）试验周期100h，起泡：起泡等级0</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r>
      <w:tr>
        <w:trP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调解室</w:t>
            </w:r>
            <w:r/>
          </w:p>
        </w:tc>
      </w:tr>
      <w:tr>
        <w:trPr>
          <w:gridAfter w:val="1"/>
          <w:trHeight w:val="181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胶板会议桌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46480" cy="702310"/>
                      <wp:effectExtent l="0" t="0" r="1270" b="2540"/>
                      <wp:docPr id="3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5"/>
                              <a:stretch/>
                            </pic:blipFill>
                            <pic:spPr bwMode="auto">
                              <a:xfrm>
                                <a:off x="0" y="0"/>
                                <a:ext cx="1046480" cy="702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2.4pt;height:55.3pt;mso-wrap-distance-left:0.0pt;mso-wrap-distance-top:0.0pt;mso-wrap-distance-right:0.0pt;mso-wrap-distance-bottom:0.0pt;" stroked="false">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3200*1200*760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ascii="等线" w:hAnsi="等线" w:eastAsia="等线" w:cs="等线"/>
                <w:color w:val="000000"/>
                <w:sz w:val="16"/>
                <w:szCs w:val="16"/>
                <w:lang w:bidi="ar"/>
              </w:rPr>
              <w:t xml:space="preserve">.</w:t>
            </w:r>
            <w:r>
              <w:rPr>
                <w:rFonts w:hint="eastAsia" w:ascii="等线" w:hAnsi="等线" w:eastAsia="等线" w:cs="等线"/>
                <w:color w:val="000000"/>
                <w:sz w:val="16"/>
                <w:szCs w:val="16"/>
                <w:lang w:bidi="ar"/>
              </w:rPr>
              <w:t xml:space="preserve">主材实木多层板(面板25mm，其余16mm)符合GB/T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tabs>
                <w:tab w:val="left" w:pos="312" w:leader="none"/>
              </w:tabs>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16"/>
                <w:szCs w:val="16"/>
              </w:rPr>
            </w:pPr>
            <w:r>
              <w:rPr>
                <w:rFonts w:hint="eastAsia" w:ascii="等线" w:hAnsi="等线" w:eastAsia="等线" w:cs="等线"/>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3906"/>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186055</wp:posOffset>
                      </wp:positionH>
                      <wp:positionV relativeFrom="paragraph">
                        <wp:posOffset>3175</wp:posOffset>
                      </wp:positionV>
                      <wp:extent cx="782320" cy="937260"/>
                      <wp:effectExtent l="0" t="0" r="8255" b="5715"/>
                      <wp:wrapNone/>
                      <wp:docPr id="3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6"/>
                              <a:stretch/>
                            </pic:blipFill>
                            <pic:spPr bwMode="auto">
                              <a:xfrm>
                                <a:off x="0" y="0"/>
                                <a:ext cx="782320" cy="9372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2336;o:allowoverlap:true;o:allowincell:true;mso-position-horizontal-relative:text;margin-left:14.6pt;mso-position-horizontal:absolute;mso-position-vertical-relative:text;margin-top:0.2pt;mso-position-vertical:absolute;width:61.6pt;height:73.8pt;mso-wrap-distance-left:0.0pt;mso-wrap-distance-top:0.0pt;mso-wrap-distance-right:0.0pt;mso-wrap-distance-bottom:0.0pt;" stroked="false">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4.弓形脚符合GB/T 10125-2021标准；检测内容至少包括：人造气氛腐蚀试验（盐雾试验）：铜加速乙酸盐雾（CASS）试验周期100h，起泡：起泡等级0（S0）</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10</w:t>
            </w:r>
            <w:r/>
          </w:p>
        </w:tc>
      </w:tr>
      <w:tr>
        <w:trPr>
          <w:gridAfter w:val="1"/>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律师休息室、证人休息室</w:t>
            </w:r>
            <w:r/>
          </w:p>
        </w:tc>
      </w:tr>
      <w:tr>
        <w:trPr>
          <w:gridAfter w:val="1"/>
          <w:trHeight w:val="201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72795" cy="833755"/>
                      <wp:effectExtent l="0" t="0" r="8255" b="4445"/>
                      <wp:docPr id="3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7"/>
                              <a:stretch/>
                            </pic:blipFill>
                            <pic:spPr bwMode="auto">
                              <a:xfrm>
                                <a:off x="0" y="0"/>
                                <a:ext cx="772795" cy="833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0.8pt;height:65.6pt;mso-wrap-distance-left:0.0pt;mso-wrap-distance-top:0.0pt;mso-wrap-distance-right:0.0pt;mso-wrap-distance-bottom:0.0pt;" stroked="false">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直径</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p>
        </w:tc>
      </w:tr>
      <w:tr>
        <w:trPr>
          <w:gridAfter w:val="1"/>
          <w:trHeight w:val="345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222885</wp:posOffset>
                      </wp:positionH>
                      <wp:positionV relativeFrom="paragraph">
                        <wp:posOffset>-218440</wp:posOffset>
                      </wp:positionV>
                      <wp:extent cx="763905" cy="934720"/>
                      <wp:effectExtent l="0" t="0" r="7620" b="8255"/>
                      <wp:wrapNone/>
                      <wp:docPr id="3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48"/>
                              <a:stretch/>
                            </pic:blipFill>
                            <pic:spPr bwMode="auto">
                              <a:xfrm>
                                <a:off x="0" y="0"/>
                                <a:ext cx="763905" cy="9347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3360;o:allowoverlap:true;o:allowincell:true;mso-position-horizontal-relative:text;margin-left:17.6pt;mso-position-horizontal:absolute;mso-position-vertical-relative:text;margin-top:-17.2pt;mso-position-vertical:absolute;width:60.1pt;height:73.6pt;mso-wrap-distance-left:0.0pt;mso-wrap-distance-top:0.0pt;mso-wrap-distance-right:0.0pt;mso-wrap-distance-bottom:0.0pt;" stroked="false">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皱纹及剥落现象；杯突试验；弯曲试验；耐磨性；耐盐雾性（中性盐雾）试验；均合格。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w:t>
            </w:r>
            <w:r/>
          </w:p>
        </w:tc>
      </w:tr>
      <w:tr>
        <w:trPr>
          <w:gridAfter w:val="1"/>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大接待室</w:t>
            </w:r>
            <w:r/>
          </w:p>
        </w:tc>
      </w:tr>
      <w:tr>
        <w:trPr>
          <w:gridAfter w:val="1"/>
          <w:trHeight w:val="23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75690" cy="647700"/>
                      <wp:effectExtent l="0" t="0" r="635" b="0"/>
                      <wp:docPr id="3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49"/>
                              <a:stretch/>
                            </pic:blipFill>
                            <pic:spPr bwMode="auto">
                              <a:xfrm>
                                <a:off x="0" y="0"/>
                                <a:ext cx="1075690" cy="647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4.7pt;height:51.0pt;mso-wrap-distance-left:0.0pt;mso-wrap-distance-top:0.0pt;mso-wrap-distance-right:0.0pt;mso-wrap-distance-bottom:0.0pt;" stroked="false">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1000*930*950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2.阻燃海绵符合GB/T10802-2023、GB/T9640-2008、QB/T2280-2016、GB/T6344-2008、GB/T6343-2009、GB17927-2024、GB/T37866-2019、</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GB8624-2012、GB6675.4-2014、QB/T2080-2018标准，检测内容至少包括：家具制品用泡沫塑料燃烧性能等级 B1级：单位面积热释放速率峰值，平均燃烧时</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间，平均燃烧高度；环境属性-苯类，增塑剂；可迁移元素（铅、汞）；40%压陷硬度最大损失率；软质聚氨酯泡沫塑料-密度；甲醛释放量；干热老化后拉伸强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度，湿热老化后拉伸强度；均合格                                                                                                      3.面料阻燃绒布符合GB18401-2010、GB8624-2012、GB17927-2024、GB/T43821-2024、GB/T24253-2009标准，检测内容至少包括：耐唾液（变色、沾</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色）、耐干摩擦均符合要求；甲醛含量；无异味；阻燃性能安全技术要求：阻燃Ⅰ级符合要求；可分解致癌芳香胺染料；窗帘幕布、家具制品装饰用织物的燃烧</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性能等级B1级：阴燃时间≤2s，续燃时间≤2s；防螨性能（趋避率）；铅释放量；</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4</w:t>
            </w:r>
            <w:r/>
          </w:p>
        </w:tc>
      </w:tr>
      <w:tr>
        <w:trPr>
          <w:gridAfter w:val="1"/>
          <w:trHeight w:val="252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38530" cy="702310"/>
                      <wp:effectExtent l="0" t="0" r="4445" b="2540"/>
                      <wp:docPr id="4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0"/>
                              <a:stretch/>
                            </pic:blipFill>
                            <pic:spPr bwMode="auto">
                              <a:xfrm>
                                <a:off x="0" y="0"/>
                                <a:ext cx="938530" cy="702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3.9pt;height:55.3pt;mso-wrap-distance-left:0.0pt;mso-wrap-distance-top:0.0pt;mso-wrap-distance-right:0.0pt;mso-wrap-distance-bottom:0.0pt;" stroked="false">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635*435*550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w:t>
            </w:r>
            <w:r/>
          </w:p>
        </w:tc>
      </w:tr>
      <w:tr>
        <w:trPr>
          <w:gridAfter w:val="1"/>
          <w:trHeight w:val="249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894080" cy="875030"/>
                      <wp:effectExtent l="0" t="0" r="1270" b="1270"/>
                      <wp:docPr id="4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1"/>
                              <a:stretch/>
                            </pic:blipFill>
                            <pic:spPr bwMode="auto">
                              <a:xfrm>
                                <a:off x="0" y="0"/>
                                <a:ext cx="894080" cy="875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0.4pt;height:68.9pt;mso-wrap-distance-left:0.0pt;mso-wrap-distance-top:0.0pt;mso-wrap-distance-right:0.0pt;mso-wrap-distance-bottom:0.0pt;" stroked="false">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p>
        </w:tc>
      </w:tr>
      <w:tr>
        <w:trP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办公室</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胶板办公桌（带副柜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06780" cy="619760"/>
                      <wp:effectExtent l="0" t="0" r="7620" b="8890"/>
                      <wp:docPr id="4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2"/>
                              <a:stretch/>
                            </pic:blipFill>
                            <pic:spPr bwMode="auto">
                              <a:xfrm>
                                <a:off x="0" y="0"/>
                                <a:ext cx="906780" cy="61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1.4pt;height:48.8pt;mso-wrap-distance-left:0.0pt;mso-wrap-distance-top:0.0pt;mso-wrap-distance-right:0.0pt;mso-wrap-distance-bottom:0.0pt;" stroked="false">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1600*1600*760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1.主材实木多层板符合GB/T 34722-2017、GB/T 9846-2015 、GB/T 17657-2022 、GB 18580-2017 、GB/T 39600-2021 、GB/T 29899-2024 、GB/T44690-2024、GB/T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4.胶粘剂符合GB18583-2008、HJ2541-2016、GB33372-2020、GB/T21604-2022标准；检测内容至少包括：游离甲醛；苯；甲苯+二甲苯；总挥发性有机物；1VOC 含量；卤代烃；急性皮肤刺激性/腐蚀性试验：无刺激性。</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5.多功能线盒符合GB/T 3325-2024、GB/T 10125-2021》标准；检测内容至少包括：人造气氛腐蚀试验（盐雾试验）：铜加速乙酸盐雾（CASS）试验周期</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26</w:t>
            </w:r>
            <w:r/>
          </w:p>
        </w:tc>
      </w:tr>
      <w:tr>
        <w:trPr>
          <w:gridAfter w:val="1"/>
          <w:trHeight w:val="252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rPr>
                <w:rFonts w:hint="eastAsia"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18820" cy="988695"/>
                      <wp:effectExtent l="0" t="0" r="5080" b="1905"/>
                      <wp:docPr id="4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3"/>
                              <a:stretch/>
                            </pic:blipFill>
                            <pic:spPr bwMode="auto">
                              <a:xfrm>
                                <a:off x="0" y="0"/>
                                <a:ext cx="718820" cy="988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6.6pt;height:77.8pt;mso-wrap-distance-left:0.0pt;mso-wrap-distance-top:0.0pt;mso-wrap-distance-right:0.0pt;mso-wrap-distance-bottom:0.0pt;" stroked="false">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550*600*1030-1250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3.防爆底盘机构符合GB/T 10125-2021标准；检测内容至少包括：人造气氛腐蚀试验（盐雾试验）：铜加速乙酸盐雾（CASS）试验周期100h，起泡：起泡等级0（S0）、生锈：生锈等级Ri0、开裂：开裂等级0（S0）、剥落：剥落等级0（S0）..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rPr>
                <w:rFonts w:hint="eastAsia" w:ascii="等线" w:hAnsi="等线" w:eastAsia="等线" w:cs="等线"/>
                <w:color w:val="000000"/>
                <w:sz w:val="20"/>
                <w:szCs w:val="20"/>
                <w:lang w:bidi="ar"/>
              </w:rPr>
              <w:t xml:space="preserve">6</w:t>
            </w:r>
            <w:r/>
          </w:p>
        </w:tc>
      </w:tr>
      <w:tr>
        <w:trPr>
          <w:gridAfter w:val="1"/>
          <w:trHeight w:val="3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rPr>
                <w:rFonts w:hint="eastAsia" w:ascii="等线" w:hAnsi="等线" w:eastAsia="等线" w:cs="等线"/>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定制胶板文件柜+衣柜</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（根据现场</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定</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20090" cy="1168400"/>
                      <wp:effectExtent l="0" t="0" r="3810" b="3175"/>
                      <wp:docPr id="4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4"/>
                              <a:stretch/>
                            </pic:blipFill>
                            <pic:spPr bwMode="auto">
                              <a:xfrm>
                                <a:off x="0" y="0"/>
                                <a:ext cx="720090" cy="1168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7pt;height:92.0pt;mso-wrap-distance-left:0.0pt;mso-wrap-distance-top:0.0pt;mso-wrap-distance-right:0.0pt;mso-wrap-distance-bottom:0.0pt;" stroked="false">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2.▲铝合金型材，符合GB/T 3325-2024、GB/T 24195-2009、GB/T 6461-2002标准；检测内容至少包括：铅笔硬度，附着力；酸性盐雾、“干燥”和“湿润”条件下的循环加速腐蚀试验；</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4.玻璃，符合GB/T 26695-2011标准；检测内容至少包括：点状缺陷检测合格；点状缺陷密集度检测合格；划伤检测合格；裂纹检测合格；断面缺陷检测合</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格；线道检测合格；夹钳印检测合格；耐热冲击性能：钢化玻璃应耐200℃温差不破坏；承载类产品耐重力冲击性能检测合格；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rPr>
                <w:rFonts w:hint="eastAsia" w:ascii="等线" w:hAnsi="等线" w:eastAsia="等线" w:cs="等线"/>
                <w:color w:val="000000"/>
                <w:sz w:val="20"/>
                <w:szCs w:val="20"/>
                <w:lang w:bidi="ar"/>
              </w:rPr>
              <w:t xml:space="preserve">6</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847725" cy="909320"/>
                      <wp:effectExtent l="0" t="0" r="0" b="5080"/>
                      <wp:docPr id="4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5"/>
                              <a:stretch/>
                            </pic:blipFill>
                            <pic:spPr bwMode="auto">
                              <a:xfrm>
                                <a:off x="0" y="0"/>
                                <a:ext cx="847725" cy="909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6.8pt;height:71.6pt;mso-wrap-distance-left:0.0pt;mso-wrap-distance-top:0.0pt;mso-wrap-distance-right:0.0pt;mso-wrap-distance-bottom:0.0pt;" stroked="false">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13</w:t>
            </w:r>
            <w:r/>
          </w:p>
        </w:tc>
      </w:tr>
      <w:tr>
        <w:trPr>
          <w:gridAfter w:val="1"/>
          <w:trHeight w:val="39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胶板办公桌（带副柜）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1028700" cy="671195"/>
                      <wp:effectExtent l="0" t="0" r="0" b="5080"/>
                      <wp:docPr id="4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6"/>
                              <a:stretch/>
                            </pic:blipFill>
                            <pic:spPr bwMode="auto">
                              <a:xfrm>
                                <a:off x="0" y="0"/>
                                <a:ext cx="1028700" cy="671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1.0pt;height:52.8pt;mso-wrap-distance-left:0.0pt;mso-wrap-distance-top:0.0pt;mso-wrap-distance-right:0.0pt;mso-wrap-distance-bottom:0.0pt;" stroked="false">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1800*1600*760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4.胶粘剂符合GB18583-2008、HJ2541-2016、GB33372-2020、GB/T21604-2022标准；检测内容至少包括：游离甲醛；苯；甲苯+二甲苯；总挥发性有机物；1VOC 含量；卤代烃；急性皮肤刺激性/腐蚀性试验：无刺激性。</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5.多功能线盒符合GB/T 3325-2024、GB/T 10125-2021》标准；检测内容至少包括：人造气氛腐蚀试验（盐雾试验）：铜加速乙酸盐雾（CASS）试验周期</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p>
        </w:tc>
      </w:tr>
      <w:tr>
        <w:trPr>
          <w:gridAfter w:val="1"/>
          <w:trHeight w:val="39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62000" cy="976630"/>
                      <wp:effectExtent l="0" t="0" r="0" b="4445"/>
                      <wp:docPr id="4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7"/>
                              <a:stretch/>
                            </pic:blipFill>
                            <pic:spPr bwMode="auto">
                              <a:xfrm>
                                <a:off x="0" y="0"/>
                                <a:ext cx="762000" cy="97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0.0pt;height:76.9pt;mso-wrap-distance-left:0.0pt;mso-wrap-distance-top:0.0pt;mso-wrap-distance-right:0.0pt;mso-wrap-distance-bottom:0.0pt;" stroked="false">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ascii="等线" w:hAnsi="等线" w:eastAsia="等线" w:cs="等线"/>
                <w:color w:val="000000"/>
                <w:sz w:val="16"/>
                <w:szCs w:val="16"/>
                <w:lang w:bidi="ar"/>
              </w:rPr>
              <w:t xml:space="preserve">.</w:t>
            </w:r>
            <w:r>
              <w:rPr>
                <w:rFonts w:hint="eastAsia" w:ascii="等线" w:hAnsi="等线" w:eastAsia="等线" w:cs="等线"/>
                <w:color w:val="000000"/>
                <w:sz w:val="16"/>
                <w:szCs w:val="16"/>
                <w:lang w:bidi="ar"/>
              </w:rPr>
              <w:t xml:space="preserve">面料阻燃网布，符合GB 18401-2010、GB/T 40263-2021、GB/T 27717-2011、GB/T 18414.1-2006 、GB/T 19976-2005、GB/T 20386-2006、GB 17927-2024 标准，检测内容至少包括：甲醛含量，pH值，染色牢度-耐碱汗渍色牢度；染色牢度-耐干摩擦色牢度，可分解致癌芳香胺染料，短链氯化石蜡，无异味，富马酸二甲酯，五氯苯酚，邻苯基苯酚（OPP），阻燃性能：未出现任何阴燃和有焰燃烧现象；                        </w:t>
            </w:r>
            <w:r>
              <w:rPr>
                <w:rFonts w:ascii="等线" w:hAnsi="等线" w:eastAsia="等线" w:cs="等线"/>
                <w:color w:val="000000"/>
                <w:sz w:val="16"/>
                <w:szCs w:val="16"/>
                <w:lang w:bidi="ar"/>
              </w:rPr>
              <w:t xml:space="preserve">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2.阻燃海绵符合GB/T10802-2023、GB/T9640-2008、QB/T2280-2016、GB/T6344-</w:t>
            </w:r>
            <w:r>
              <w:rPr>
                <w:rFonts w:hint="eastAsia" w:ascii="等线" w:hAnsi="等线" w:eastAsia="等线" w:cs="等线"/>
                <w:color w:val="000000"/>
                <w:sz w:val="16"/>
                <w:szCs w:val="16"/>
                <w:lang w:bidi="ar"/>
              </w:rPr>
              <w:t xml:space="preserve">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3.塑料扶手符合GB/T 32487-2016、GB 28481-2012、SN/T 3814-2014标准；检测内容至少包括：塑料件外观检测合格；塑料件硬度；邻苯二甲酸酯；短链氯化石蜡；                                                                                                                                                          </w:t>
            </w:r>
            <w:r>
              <w:rPr>
                <w:rFonts w:hint="eastAsia" w:ascii="等线" w:hAnsi="等线" w:eastAsia="等线" w:cs="等线"/>
                <w:color w:val="000000"/>
                <w:sz w:val="16"/>
                <w:szCs w:val="16"/>
                <w:lang w:bidi="ar"/>
              </w:rPr>
              <w:t xml:space="preserve">                                                     4.气压棒符合GB/T 29525-2013、GB/T 10125-2021标准；检测内容至少包括：启动力Fo；伸展速度；密封性能；强度性能-抗压强度；强度性能-侧拉强度；强度性能-抗拉强度符合要求；耐高低温性能；安全性-循环寿命；人造气氛腐蚀试验（盐雾试验）：铜加速乙酸盐雾（CASS）试验周期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 </w:t>
            </w:r>
            <w:r>
              <w:rPr>
                <w:rFonts w:hint="eastAsia" w:ascii="等线" w:hAnsi="等线" w:eastAsia="等线" w:cs="等线"/>
                <w:color w:val="000000"/>
                <w:sz w:val="20"/>
                <w:szCs w:val="20"/>
                <w:lang w:bidi="ar"/>
              </w:rPr>
              <w:t xml:space="preserve">2</w:t>
            </w:r>
            <w:r/>
          </w:p>
        </w:tc>
      </w:tr>
      <w:tr>
        <w:trPr>
          <w:gridAfter w:val="1"/>
          <w:trHeight w:val="39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定制胶板文件柜+衣柜（根据现场定）</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35330" cy="1184910"/>
                      <wp:effectExtent l="0" t="0" r="7620" b="5715"/>
                      <wp:docPr id="48"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8"/>
                              <a:stretch/>
                            </pic:blipFill>
                            <pic:spPr bwMode="auto">
                              <a:xfrm>
                                <a:off x="0" y="0"/>
                                <a:ext cx="735330" cy="1184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7.9pt;height:93.3pt;mso-wrap-distance-left:0.0pt;mso-wrap-distance-top:0.0pt;mso-wrap-distance-right:0.0pt;mso-wrap-distance-bottom:0.0pt;" stroked="false">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w:t>
            </w:r>
            <w:r>
              <w:rPr>
                <w:rFonts w:hint="eastAsia" w:ascii="等线" w:hAnsi="等线" w:eastAsia="等线" w:cs="等线"/>
                <w:color w:val="000000"/>
                <w:sz w:val="16"/>
                <w:szCs w:val="16"/>
                <w:lang w:bidi="ar"/>
              </w:rPr>
              <w:t xml:space="preserve">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2.铝合金型材，符合GB/T 3325-2024、GB/T 24195-2009、GB/T 6461-2002标准；检测内容至少包括：铅笔硬度，附着力≤1级；酸性盐雾、“干燥”和“湿润”条件下的循环加速腐蚀试验（方法A，≥12个循环）：外观无变化，保护评级(Rp)≥9级外观评级(RA)≥9级；</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4.玻璃，符合GB/T 26695-2011标准；检测内容至少包括：点状缺陷检测合格；点状缺陷密集度检测合格；划伤检测合格；裂纹检测合格；断面缺陷检测合格；线道检测合格；夹钳印检测合格；耐热冲击性能：钢化玻璃应耐200℃温差不破坏；承载类产品耐重力冲击性能检测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309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907415" cy="1045210"/>
                      <wp:effectExtent l="0" t="0" r="6985" b="2540"/>
                      <wp:docPr id="4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9"/>
                              <a:stretch/>
                            </pic:blipFill>
                            <pic:spPr bwMode="auto">
                              <a:xfrm>
                                <a:off x="0" y="0"/>
                                <a:ext cx="907415" cy="1045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1.5pt;height:82.3pt;mso-wrap-distance-left:0.0pt;mso-wrap-distance-top:0.0pt;mso-wrap-distance-right:0.0pt;mso-wrap-distance-bottom:0.0pt;" stroked="false">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w:t>
            </w:r>
            <w:r>
              <w:rPr>
                <w:rFonts w:hint="eastAsia" w:ascii="等线" w:hAnsi="等线" w:eastAsia="等线" w:cs="等线"/>
                <w:color w:val="000000"/>
                <w:sz w:val="16"/>
                <w:szCs w:val="16"/>
                <w:lang w:bidi="ar"/>
              </w:rPr>
              <w:t xml:space="preserve">实木多层板(顶板25mm，其余16mm)符合GB/T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w:t>
            </w:r>
            <w:r>
              <w:rPr>
                <w:rFonts w:hint="eastAsia" w:ascii="等线" w:hAnsi="等线" w:eastAsia="等线" w:cs="等线"/>
                <w:color w:val="000000"/>
                <w:sz w:val="16"/>
                <w:szCs w:val="16"/>
                <w:lang w:bidi="ar"/>
              </w:rPr>
              <w:t xml:space="preserve">病毒活性率；甲醛释放量，氯乙烯单体，可迁移元素(可溶性重金属)；邻苯二甲酸酷的总量；多溴联苯；多溴联苯醚;均合格。                                                                                                                                                                                                       </w:t>
            </w:r>
            <w:r>
              <w:rPr>
                <w:rFonts w:hint="eastAsia" w:ascii="等线" w:hAnsi="等线" w:eastAsia="等线" w:cs="等线"/>
                <w:color w:val="000000"/>
                <w:sz w:val="16"/>
                <w:szCs w:val="16"/>
                <w:lang w:bidi="ar"/>
              </w:rPr>
              <w:t xml:space="preserve">                            4.拉手，符合GB/T 3325-2024、GB/T 10125-2021标准；检测内容至少包括：外观性能-金属件：喷漆（塑）涂层应无漏喷、锈蚀、脱色、掉色等，应光滑均匀，色泽一致，应无流挂、疙瘩、皱皮、飞漆等；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2</w:t>
            </w:r>
            <w:r/>
          </w:p>
        </w:tc>
      </w:tr>
      <w:tr>
        <w:trPr>
          <w:trHeight w:val="518"/>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等候区、会议室</w:t>
            </w:r>
            <w:r/>
          </w:p>
        </w:tc>
      </w:tr>
      <w:tr>
        <w:trPr>
          <w:gridAfter w:val="1"/>
          <w:trHeight w:val="224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胶板会议桌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59485" cy="600075"/>
                      <wp:effectExtent l="0" t="0" r="2540" b="0"/>
                      <wp:docPr id="50"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0"/>
                              <a:stretch/>
                            </pic:blipFill>
                            <pic:spPr bwMode="auto">
                              <a:xfrm>
                                <a:off x="0" y="0"/>
                                <a:ext cx="959485" cy="600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5pt;height:47.2pt;mso-wrap-distance-left:0.0pt;mso-wrap-distance-top:0.0pt;mso-wrap-distance-right:0.0pt;mso-wrap-distance-bottom:0.0pt;" stroked="false">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3200*1200*760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1.主材实木多层板(面板25mm，其余16mm)符合GB/T 34722-2017、GB/T 9846-2015 、</w:t>
            </w:r>
            <w:r>
              <w:rPr>
                <w:rFonts w:hint="eastAsia" w:ascii="等线" w:hAnsi="等线" w:eastAsia="等线" w:cs="等线"/>
                <w:color w:val="000000"/>
                <w:sz w:val="16"/>
                <w:szCs w:val="16"/>
                <w:lang w:bidi="ar"/>
              </w:rPr>
              <w:t xml:space="preserve">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p>
        </w:tc>
      </w:tr>
      <w:tr>
        <w:trPr>
          <w:gridAfter w:val="1"/>
          <w:trHeight w:val="323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88670" cy="942975"/>
                      <wp:effectExtent l="0" t="0" r="1905" b="0"/>
                      <wp:docPr id="5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1"/>
                              <a:stretch/>
                            </pic:blipFill>
                            <pic:spPr bwMode="auto">
                              <a:xfrm>
                                <a:off x="0" y="0"/>
                                <a:ext cx="788670" cy="942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2.1pt;height:74.2pt;mso-wrap-distance-left:0.0pt;mso-wrap-distance-top:0.0pt;mso-wrap-distance-right:0.0pt;mso-wrap-distance-bottom:0.0pt;" stroked="false">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w:t>
            </w:r>
            <w:r>
              <w:rPr>
                <w:rFonts w:hint="eastAsia" w:ascii="等线" w:hAnsi="等线" w:eastAsia="等线" w:cs="等线"/>
                <w:color w:val="000000"/>
                <w:sz w:val="16"/>
                <w:szCs w:val="16"/>
                <w:lang w:bidi="ar"/>
              </w:rPr>
              <w:t xml:space="preserve">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                                                   </w:t>
            </w:r>
            <w:r>
              <w:rPr>
                <w:rFonts w:hint="eastAsia" w:ascii="等线" w:hAnsi="等线" w:eastAsia="等线" w:cs="等线"/>
                <w:color w:val="000000"/>
                <w:sz w:val="16"/>
                <w:szCs w:val="16"/>
                <w:lang w:bidi="ar"/>
              </w:rPr>
              <w:t xml:space="preserve">                                                                                                                                    4.弓形脚，符合GB/T 10125-2021标准；检测内容至少包括：人造气氛腐蚀试验（盐雾试验）：铜加速乙酸盐雾CASS）试验周期100h，起泡：起泡等级0（S0）、生锈：生锈等级Ri0、开裂：开裂等级0（S0）、剥落：剥落等级0（S0）.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rPr>
                <w:rFonts w:hint="eastAsia" w:ascii="等线" w:hAnsi="等线" w:eastAsia="等线" w:cs="等线"/>
                <w:color w:val="000000"/>
                <w:sz w:val="20"/>
                <w:szCs w:val="20"/>
                <w:lang w:bidi="ar"/>
              </w:rPr>
              <w:t xml:space="preserve">0</w:t>
            </w:r>
            <w:r/>
          </w:p>
        </w:tc>
      </w:tr>
      <w:tr>
        <w:trPr>
          <w:gridAfter w:val="1"/>
          <w:trHeight w:val="340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86155" cy="864870"/>
                      <wp:effectExtent l="0" t="0" r="4445" b="1905"/>
                      <wp:docPr id="52"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986155" cy="864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7.6pt;height:68.1pt;mso-wrap-distance-left:0.0pt;mso-wrap-distance-top:0.0pt;mso-wrap-distance-right:0.0pt;mso-wrap-distance-bottom:0.0pt;" stroked="false">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w:t>
            </w:r>
            <w:r>
              <w:rPr>
                <w:rFonts w:hint="eastAsia" w:ascii="等线" w:hAnsi="等线" w:eastAsia="等线" w:cs="等线"/>
                <w:color w:val="000000"/>
                <w:sz w:val="16"/>
                <w:szCs w:val="16"/>
                <w:lang w:bidi="ar"/>
              </w:rPr>
              <w:t xml:space="preserve">木多层板(顶板25mm，其余16mm)符合GB/T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w:t>
            </w:r>
            <w:r>
              <w:rPr>
                <w:rFonts w:hint="eastAsia" w:ascii="等线" w:hAnsi="等线" w:eastAsia="等线" w:cs="等线"/>
                <w:color w:val="000000"/>
                <w:sz w:val="16"/>
                <w:szCs w:val="16"/>
                <w:lang w:bidi="ar"/>
              </w:rPr>
              <w:t xml:space="preserve">55-2023标准；检测内容至少包括：短链氯化石蜡含量，抗病毒活性率；甲醛释放量，氯乙烯单体，可迁移元素(可溶性重金属)；邻苯二甲酸酷的总量；多溴联苯；多溴联苯醚;均合格。                                                                                                                                                                          </w:t>
            </w:r>
            <w:r>
              <w:rPr>
                <w:rFonts w:hint="eastAsia" w:ascii="等线" w:hAnsi="等线" w:eastAsia="等线" w:cs="等线"/>
                <w:color w:val="000000"/>
                <w:sz w:val="16"/>
                <w:szCs w:val="16"/>
                <w:lang w:bidi="ar"/>
              </w:rPr>
              <w:t xml:space="preserve">                                                      4.拉手，符合GB/T 3325-2024、GB/T 10125-2021标准；检测内容至少包括：外观性能-金属件：喷漆（塑）涂层应无漏喷、锈蚀、脱色、掉色等，应光滑均匀，色泽一致，应无流挂、疙瘩、皱皮、飞漆等；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r>
      <w:tr>
        <w:trPr>
          <w:trHeight w:val="840"/>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接待室</w:t>
            </w:r>
            <w:r/>
          </w:p>
        </w:tc>
      </w:tr>
      <w:tr>
        <w:trPr>
          <w:gridAfter w:val="1"/>
          <w:trHeight w:val="326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89025" cy="656590"/>
                      <wp:effectExtent l="0" t="0" r="6350" b="635"/>
                      <wp:docPr id="53"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3"/>
                              <a:stretch/>
                            </pic:blipFill>
                            <pic:spPr bwMode="auto">
                              <a:xfrm>
                                <a:off x="0" y="0"/>
                                <a:ext cx="1089025" cy="6565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5.8pt;height:51.7pt;mso-wrap-distance-left:0.0pt;mso-wrap-distance-top:0.0pt;mso-wrap-distance-right:0.0pt;mso-wrap-distance-bottom:0.0pt;" stroked="false">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1000*930*950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2.阻燃海绵符合GB/T10802-2023、GB/T9640-2008、QB/T2280-2016、GB/T6344-2008、GB/T6343-2009、GB17927-2024、GB/T37866-2019、GB8624-2012、G</w:t>
            </w:r>
            <w:r>
              <w:rPr>
                <w:rFonts w:hint="eastAsia" w:ascii="等线" w:hAnsi="等线" w:eastAsia="等线" w:cs="等线"/>
                <w:color w:val="000000"/>
                <w:sz w:val="16"/>
                <w:szCs w:val="16"/>
                <w:lang w:bidi="ar"/>
              </w:rPr>
              <w:t xml:space="preserve">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面料阻燃绒布符合GB18401-2010、GB8624-2012、GB17927-2024、GB/T43821-2024、GB/T24253-2009标准，检测内容至少包括：耐唾液（变色、沾色）、耐干摩擦均符合要求；甲醛含量；无异味；阻燃性能安全技术要求：阻燃Ⅰ级符合要求；可分解致癌芳香胺染料；窗帘幕布、家具制品装饰用织物的燃烧性能等级B1级：阴燃时间≤2s，续燃时间≤2s；防螨性能（趋避率）；铅释放量；</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14</w:t>
            </w:r>
            <w:r/>
          </w:p>
        </w:tc>
      </w:tr>
      <w:tr>
        <w:trPr>
          <w:gridAfter w:val="1"/>
          <w:trHeight w:val="288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38860" cy="773430"/>
                      <wp:effectExtent l="0" t="0" r="8890" b="7620"/>
                      <wp:docPr id="54"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4"/>
                              <a:stretch/>
                            </pic:blipFill>
                            <pic:spPr bwMode="auto">
                              <a:xfrm>
                                <a:off x="0" y="0"/>
                                <a:ext cx="1038860" cy="77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1.8pt;height:60.9pt;mso-wrap-distance-left:0.0pt;mso-wrap-distance-top:0.0pt;mso-wrap-distance-right:0.0pt;mso-wrap-distance-bottom:0.0pt;" stroked="false">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635*435*550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8</w:t>
            </w:r>
            <w:r/>
          </w:p>
        </w:tc>
      </w:tr>
      <w:tr>
        <w:trPr>
          <w:gridAfter w:val="1"/>
          <w:trHeight w:val="2641"/>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51865" cy="928370"/>
                      <wp:effectExtent l="0" t="0" r="635" b="5080"/>
                      <wp:docPr id="55"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5"/>
                              <a:stretch/>
                            </pic:blipFill>
                            <pic:spPr bwMode="auto">
                              <a:xfrm>
                                <a:off x="0" y="0"/>
                                <a:ext cx="951864" cy="928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0pt;height:73.1pt;mso-wrap-distance-left:0.0pt;mso-wrap-distance-top:0.0pt;mso-wrap-distance-right:0.0pt;mso-wrap-distance-bottom:0.0pt;" stroked="false">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r>
      <w:tr>
        <w:trP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视频会议室</w:t>
            </w:r>
            <w:r/>
          </w:p>
        </w:tc>
      </w:tr>
      <w:tr>
        <w:trPr>
          <w:gridAfter w:val="1"/>
          <w:trHeight w:val="22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136650" cy="619125"/>
                      <wp:effectExtent l="0" t="0" r="6350" b="0"/>
                      <wp:docPr id="56"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6"/>
                              <a:stretch/>
                            </pic:blipFill>
                            <pic:spPr bwMode="auto">
                              <a:xfrm>
                                <a:off x="0" y="0"/>
                                <a:ext cx="1136650" cy="619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89.5pt;height:48.8pt;mso-wrap-distance-left:0.0pt;mso-wrap-distance-top:0.0pt;mso-wrap-distance-right:0.0pt;mso-wrap-distance-bottom:0.0pt;" stroked="false">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6000*1800*760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hint="eastAsia" w:ascii="等线" w:hAnsi="等线" w:eastAsia="等线" w:cs="等线"/>
                <w:color w:val="000000"/>
                <w:sz w:val="16"/>
                <w:szCs w:val="16"/>
                <w:lang w:bidi="ar"/>
              </w:rPr>
              <w:t xml:space="preserve">主材实木多层板(面板50mm，其余16mm)符合GB/T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16"/>
                <w:szCs w:val="16"/>
              </w:rPr>
            </w:pPr>
            <w:r>
              <w:rPr>
                <w:rFonts w:hint="eastAsia" w:ascii="等线" w:hAnsi="等线" w:eastAsia="等线" w:cs="等线"/>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251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71245" cy="785495"/>
                      <wp:effectExtent l="0" t="0" r="5080" b="5080"/>
                      <wp:docPr id="5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7"/>
                              <a:stretch/>
                            </pic:blipFill>
                            <pic:spPr bwMode="auto">
                              <a:xfrm>
                                <a:off x="0" y="0"/>
                                <a:ext cx="1071245" cy="785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4.3pt;height:61.8pt;mso-wrap-distance-left:0.0pt;mso-wrap-distance-top:0.0pt;mso-wrap-distance-right:0.0pt;mso-wrap-distance-bottom:0.0pt;" stroked="false">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1400*400*760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hint="eastAsia" w:ascii="等线" w:hAnsi="等线" w:eastAsia="等线" w:cs="等线"/>
                <w:color w:val="000000"/>
                <w:sz w:val="16"/>
                <w:szCs w:val="16"/>
                <w:lang w:bidi="ar"/>
              </w:rPr>
              <w:t xml:space="preserve">主材实木多层板(面板25mm，其余16mm)符合GB/T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ascii="等线" w:hAnsi="等线" w:eastAsia="等线" w:cs="等线"/>
                <w:color w:val="000000"/>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0</w:t>
            </w:r>
            <w:r/>
          </w:p>
        </w:tc>
      </w:tr>
      <w:tr>
        <w:trPr>
          <w:gridAfter w:val="1"/>
          <w:trHeight w:val="357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69620" cy="927735"/>
                      <wp:effectExtent l="0" t="0" r="1905" b="5715"/>
                      <wp:docPr id="5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r/>
                            </pic:nvPicPr>
                            <pic:blipFill>
                              <a:blip r:embed="rId68"/>
                              <a:stretch/>
                            </pic:blipFill>
                            <pic:spPr bwMode="auto">
                              <a:xfrm>
                                <a:off x="0" y="0"/>
                                <a:ext cx="769620" cy="927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0.6pt;height:73.0pt;mso-wrap-distance-left:0.0pt;mso-wrap-distance-top:0.0pt;mso-wrap-distance-right:0.0pt;mso-wrap-distance-bottom:0.0pt;" stroked="false">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w:t>
            </w:r>
            <w:r>
              <w:rPr>
                <w:rFonts w:hint="eastAsia" w:ascii="等线" w:hAnsi="等线" w:eastAsia="等线" w:cs="等线"/>
                <w:color w:val="000000"/>
                <w:sz w:val="16"/>
                <w:szCs w:val="16"/>
                <w:lang w:bidi="ar"/>
              </w:rPr>
              <w:t xml:space="preserve">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                                                      </w:t>
            </w:r>
            <w:r>
              <w:rPr>
                <w:rFonts w:hint="eastAsia" w:ascii="等线" w:hAnsi="等线" w:eastAsia="等线" w:cs="等线"/>
                <w:color w:val="000000"/>
                <w:sz w:val="16"/>
                <w:szCs w:val="16"/>
                <w:lang w:bidi="ar"/>
              </w:rPr>
              <w:t xml:space="preserve">                                                                                                                                 4.弓形脚，符合GB/T 10125-2021标准；检测内容至少包括：人造气氛腐蚀试验（盐雾试验）：铜加速乙酸盐雾（CASS）试验周期100h，起泡：起泡等级0（S0）、生锈：生锈等级Ri0、开裂：开裂等级0（S0）、剥落：剥落等级0（S0）.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w:t>
            </w:r>
            <w:r>
              <w:rPr>
                <w:rFonts w:hint="eastAsia" w:ascii="等线" w:hAnsi="等线" w:eastAsia="等线" w:cs="等线"/>
                <w:color w:val="000000"/>
                <w:sz w:val="20"/>
                <w:szCs w:val="20"/>
                <w:lang w:bidi="ar"/>
              </w:rPr>
              <w:t xml:space="preserve">6</w:t>
            </w:r>
            <w:r/>
          </w:p>
        </w:tc>
      </w:tr>
      <w:tr>
        <w:trPr>
          <w:gridAfter w:val="1"/>
          <w:trHeight w:val="71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889000" cy="890905"/>
                      <wp:effectExtent l="0" t="0" r="6350" b="4445"/>
                      <wp:docPr id="5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pic:cNvPicPr>
                              <pic:nvPr/>
                            </pic:nvPicPr>
                            <pic:blipFill>
                              <a:blip r:embed="rId69"/>
                              <a:stretch/>
                            </pic:blipFill>
                            <pic:spPr bwMode="auto">
                              <a:xfrm>
                                <a:off x="0" y="0"/>
                                <a:ext cx="889000" cy="890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0pt;height:70.1pt;mso-wrap-distance-left:0.0pt;mso-wrap-distance-top:0.0pt;mso-wrap-distance-right:0.0pt;mso-wrap-distance-bottom:0.0pt;" stroked="false">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w:t>
            </w:r>
            <w:r>
              <w:rPr>
                <w:rFonts w:hint="eastAsia" w:ascii="等线" w:hAnsi="等线" w:eastAsia="等线" w:cs="等线"/>
                <w:color w:val="000000"/>
                <w:sz w:val="16"/>
                <w:szCs w:val="16"/>
                <w:lang w:bidi="ar"/>
              </w:rPr>
              <w:t xml:space="preserve">B/T43355-2023标准；检测内容至少包括：短链氯化石蜡含量，抗病毒活性率；甲醛释放量，氯乙烯单体，可迁移元素(可溶性重金属)；邻苯二甲酸酷的总量；多溴联苯；多溴联苯醚;均合格。                                                                                                                                                                    </w:t>
            </w:r>
            <w:r>
              <w:rPr>
                <w:rFonts w:hint="eastAsia" w:ascii="等线" w:hAnsi="等线" w:eastAsia="等线" w:cs="等线"/>
                <w:color w:val="000000"/>
                <w:sz w:val="16"/>
                <w:szCs w:val="16"/>
                <w:lang w:bidi="ar"/>
              </w:rPr>
              <w:t xml:space="preserve">                                                       4.拉手，符合GB/T 3325-2024、GB/T 10125-2021标准；检测内容至少包括：外观性能-金属件：喷漆（塑）涂层应无漏喷、锈蚀、脱色、掉色等，应光滑均匀，色泽一致，应无流挂、疙瘩、皱皮、飞漆等；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p>
        </w:tc>
      </w:tr>
      <w:tr>
        <w:trPr>
          <w:gridAfter w:val="1"/>
          <w:trHeight w:val="52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墙面吸音</w:t>
            </w:r>
            <w:r/>
          </w:p>
        </w:tc>
      </w:tr>
      <w:tr>
        <w:trPr>
          <w:gridAfter w:val="1"/>
          <w:trHeight w:val="14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5</w:t>
            </w:r>
            <w:r>
              <w:rPr>
                <w:rFonts w:ascii="等线" w:hAnsi="等线" w:eastAsia="等线" w:cs="等线"/>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吸音板</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68375" cy="594995"/>
                      <wp:effectExtent l="0" t="0" r="3175" b="5080"/>
                      <wp:docPr id="6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pic:cNvPicPr>
                              <pic:nvPr/>
                            </pic:nvPicPr>
                            <pic:blipFill>
                              <a:blip r:embed="rId70"/>
                              <a:stretch/>
                            </pic:blipFill>
                            <pic:spPr bwMode="auto">
                              <a:xfrm>
                                <a:off x="0" y="0"/>
                                <a:ext cx="968375" cy="594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2pt;height:46.8pt;mso-wrap-distance-left:0.0pt;mso-wrap-distance-top:0.0pt;mso-wrap-distance-right:0.0pt;mso-wrap-distance-bottom:0.0pt;" stroked="false">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12mm木</w:t>
            </w:r>
            <w:r>
              <w:rPr>
                <w:rFonts w:hint="eastAsia" w:ascii="等线" w:hAnsi="等线" w:eastAsia="等线" w:cs="等线"/>
                <w:color w:val="000000"/>
                <w:sz w:val="16"/>
                <w:szCs w:val="16"/>
                <w:lang w:eastAsia="zh-CN" w:bidi="ar"/>
              </w:rPr>
              <w:t xml:space="preserve">质吸音</w:t>
            </w:r>
            <w:r>
              <w:rPr>
                <w:rFonts w:hint="eastAsia" w:ascii="等线" w:hAnsi="等线" w:eastAsia="等线" w:cs="等线"/>
                <w:color w:val="000000"/>
                <w:sz w:val="16"/>
                <w:szCs w:val="16"/>
                <w:lang w:bidi="ar"/>
              </w:rPr>
              <w:t xml:space="preserve">板，包含贴脚线及阳角线；木龙骨基层，断面24*30；墙面</w:t>
            </w:r>
            <w:r>
              <w:rPr>
                <w:rFonts w:ascii="等线" w:hAnsi="等线" w:eastAsia="等线" w:cs="等线"/>
                <w:color w:val="000000"/>
                <w:sz w:val="16"/>
                <w:szCs w:val="16"/>
                <w:lang w:bidi="ar"/>
              </w:rPr>
              <w:t xml:space="preserve">9</w:t>
            </w:r>
            <w:r>
              <w:rPr>
                <w:rFonts w:hint="eastAsia" w:ascii="等线" w:hAnsi="等线" w:eastAsia="等线" w:cs="等线"/>
                <w:color w:val="000000"/>
                <w:sz w:val="16"/>
                <w:szCs w:val="16"/>
                <w:lang w:bidi="ar"/>
              </w:rPr>
              <w:t xml:space="preserve">mm细木工板；</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600</w:t>
            </w:r>
            <w:r/>
          </w:p>
        </w:tc>
      </w:tr>
      <w:tr>
        <w:trPr>
          <w:gridAfter w:val="1"/>
          <w:trHeight w:val="2641"/>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6</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699770" cy="748030"/>
                      <wp:effectExtent l="0" t="0" r="5080" b="4445"/>
                      <wp:docPr id="6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r/>
                            </pic:nvPicPr>
                            <pic:blipFill>
                              <a:blip r:embed="rId71"/>
                              <a:stretch/>
                            </pic:blipFill>
                            <pic:spPr bwMode="auto">
                              <a:xfrm>
                                <a:off x="0" y="0"/>
                                <a:ext cx="699769" cy="748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5.1pt;height:58.9pt;mso-wrap-distance-left:0.0pt;mso-wrap-distance-top:0.0pt;mso-wrap-distance-right:0.0pt;mso-wrap-distance-bottom:0.0pt;" stroked="false">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1.304不锈钢架及底盘。</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3.西皮符合QB/T 4045-2010 、GB/T 19942-2019 、GB/T 38402-2019、SN/T 5319-2021 、GB/T 38401-2019 、GB/T 16799-2018 标准，检测内容至少包</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括：pH，甲醛释放量，色牢度（沾色），无异常气味，皮革和毛皮中六价铬含量，N，N-二甲基甲酰胺含量；耐磨性；禁用偶氮染料；均合格。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0</w:t>
            </w:r>
            <w:r/>
          </w:p>
        </w:tc>
      </w:tr>
      <w:tr>
        <w:trPr>
          <w:gridAfter w:val="1"/>
          <w:trHeight w:val="401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11860" cy="720090"/>
                      <wp:effectExtent l="0" t="0" r="2540" b="3810"/>
                      <wp:docPr id="6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r/>
                            </pic:nvPicPr>
                            <pic:blipFill>
                              <a:blip r:embed="rId72"/>
                              <a:stretch/>
                            </pic:blipFill>
                            <pic:spPr bwMode="auto">
                              <a:xfrm>
                                <a:off x="0" y="0"/>
                                <a:ext cx="911860" cy="720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1.8pt;height:56.7pt;mso-wrap-distance-left:0.0pt;mso-wrap-distance-top:0.0pt;mso-wrap-distance-right:0.0pt;mso-wrap-distance-bottom:0.0pt;" stroked="false">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pPr>
            <w:r>
              <w:rPr>
                <w:rStyle w:val="937"/>
              </w:rPr>
              <w:t xml:space="preserve">2150*910*870</w:t>
            </w:r>
            <w:r/>
          </w:p>
          <w:p>
            <w:pPr>
              <w:jc w:val="center"/>
              <w:widowControl/>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 ▲牛皮符合GB/T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10</w:t>
            </w:r>
            <w:r/>
          </w:p>
        </w:tc>
      </w:tr>
      <w:tr>
        <w:trPr>
          <w:gridAfter w:val="1"/>
          <w:trHeight w:val="1212"/>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ind w:firstLine="400"/>
              <w:jc w:val="left"/>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包含但不限于材料费、设备费、机械费、制作、采购、包装、保管、运杂费、安装、调试、清洁保洁、使用培训、管理费、配合费、安全文明施工费、临时设施费、合理利润、规费、税金等交付使用前及合同期保修发生的所有费用。</w:t>
            </w:r>
            <w:r/>
          </w:p>
        </w:tc>
      </w:tr>
    </w:tbl>
    <w:p>
      <w:pPr>
        <w:pStyle w:val="735"/>
        <w:rPr>
          <w:lang w:eastAsia="zh-CN"/>
        </w:rPr>
        <w:sectPr>
          <w:footnotePr/>
          <w:endnotePr/>
          <w:type w:val="nextPage"/>
          <w:pgSz w:w="16838" w:h="11906" w:orient="landscape"/>
          <w:pgMar w:top="1800" w:right="1440" w:bottom="1558" w:left="1440" w:header="851" w:footer="992" w:gutter="0"/>
          <w:cols w:num="1" w:sep="0" w:space="425" w:equalWidth="1"/>
          <w:docGrid w:linePitch="360"/>
        </w:sectPr>
      </w:pPr>
      <w:r>
        <w:rPr>
          <w:lang w:eastAsia="zh-CN"/>
        </w:rPr>
      </w:r>
      <w:r/>
    </w:p>
    <w:p>
      <w:r/>
      <w:r/>
    </w:p>
    <w:p>
      <w:pPr>
        <w:spacing w:line="560" w:lineRule="exact"/>
        <w:rPr>
          <w:rFonts w:ascii="宋体" w:hAnsi="宋体" w:cs="宋体"/>
          <w:sz w:val="28"/>
          <w:szCs w:val="28"/>
        </w:rPr>
      </w:pPr>
      <w:r>
        <w:rPr>
          <w:rFonts w:hint="eastAsia" w:ascii="宋体" w:hAnsi="宋体" w:cs="宋体"/>
          <w:b/>
          <w:bCs/>
          <w:sz w:val="28"/>
          <w:szCs w:val="28"/>
        </w:rPr>
        <w:t xml:space="preserve">四、付款方式：</w:t>
      </w:r>
      <w:r/>
    </w:p>
    <w:p>
      <w:pPr>
        <w:spacing w:line="500" w:lineRule="exact"/>
        <w:sectPr>
          <w:footnotePr/>
          <w:endnotePr/>
          <w:type w:val="nextPage"/>
          <w:pgSz w:w="11906" w:h="16838" w:orient="portrait"/>
          <w:pgMar w:top="1440" w:right="1558" w:bottom="1440" w:left="1800" w:header="851" w:footer="992" w:gutter="0"/>
          <w:cols w:num="1" w:sep="0" w:space="425" w:equalWidth="1"/>
          <w:docGrid w:linePitch="360"/>
        </w:sectPr>
      </w:pPr>
      <w:r>
        <w:rPr>
          <w:rFonts w:hint="eastAsia" w:ascii="宋体" w:hAnsi="宋体" w:cs="宋体"/>
          <w:sz w:val="28"/>
          <w:szCs w:val="28"/>
        </w:rPr>
        <w:t xml:space="preserve">（1）甲乙双方签订合同后，甲方支付合同金额的</w:t>
      </w:r>
      <w:r>
        <w:rPr>
          <w:rFonts w:ascii="宋体" w:hAnsi="宋体" w:cs="宋体"/>
          <w:sz w:val="28"/>
          <w:szCs w:val="28"/>
        </w:rPr>
        <w:t xml:space="preserve">3</w:t>
      </w:r>
      <w:r>
        <w:rPr>
          <w:rFonts w:hint="eastAsia" w:ascii="宋体" w:hAnsi="宋体" w:cs="宋体"/>
          <w:sz w:val="28"/>
          <w:szCs w:val="28"/>
        </w:rPr>
        <w:t xml:space="preserve">0%；（2）验收合格后，支付至合同金额的97%；（3）2</w:t>
      </w:r>
      <w:r>
        <w:rPr>
          <w:rFonts w:ascii="宋体" w:hAnsi="宋体" w:cs="宋体"/>
          <w:sz w:val="28"/>
          <w:szCs w:val="28"/>
        </w:rPr>
        <w:t xml:space="preserve">026</w:t>
      </w:r>
      <w:r>
        <w:rPr>
          <w:rFonts w:hint="eastAsia" w:ascii="宋体" w:hAnsi="宋体" w:cs="宋体"/>
          <w:sz w:val="28"/>
          <w:szCs w:val="28"/>
        </w:rPr>
        <w:t xml:space="preserve">年1</w:t>
      </w:r>
      <w:r>
        <w:rPr>
          <w:rFonts w:ascii="宋体" w:hAnsi="宋体" w:cs="宋体"/>
          <w:sz w:val="28"/>
          <w:szCs w:val="28"/>
        </w:rPr>
        <w:t xml:space="preserve">2</w:t>
      </w:r>
      <w:r>
        <w:rPr>
          <w:rFonts w:hint="eastAsia" w:ascii="宋体" w:hAnsi="宋体" w:cs="宋体"/>
          <w:sz w:val="28"/>
          <w:szCs w:val="28"/>
        </w:rPr>
        <w:t xml:space="preserve">月一次性付清余</w:t>
      </w:r>
      <w:r>
        <w:rPr>
          <w:rFonts w:hint="eastAsia" w:ascii="宋体" w:hAnsi="宋体"/>
          <w:sz w:val="28"/>
          <w:szCs w:val="28"/>
        </w:rPr>
        <w:t xml:space="preserve">款。</w:t>
      </w:r>
      <w:r/>
    </w:p>
    <w:p>
      <w:pPr>
        <w:jc w:val="center"/>
        <w:rPr>
          <w:rFonts w:ascii="微软雅黑" w:hAnsi="微软雅黑" w:eastAsia="微软雅黑" w:cs="微软雅黑"/>
          <w:b/>
          <w:sz w:val="36"/>
          <w:szCs w:val="36"/>
        </w:rPr>
      </w:pPr>
      <w:r>
        <w:rPr>
          <w:rFonts w:hint="eastAsia" w:ascii="微软雅黑" w:hAnsi="微软雅黑" w:eastAsia="微软雅黑" w:cs="微软雅黑"/>
          <w:sz w:val="36"/>
          <w:szCs w:val="36"/>
        </w:rPr>
        <w:t xml:space="preserve">第六章 </w:t>
      </w:r>
      <w:r>
        <w:rPr>
          <w:rFonts w:hint="eastAsia" w:ascii="微软雅黑" w:hAnsi="微软雅黑" w:eastAsia="微软雅黑" w:cs="微软雅黑"/>
          <w:b/>
          <w:sz w:val="36"/>
          <w:szCs w:val="36"/>
        </w:rPr>
        <w:t xml:space="preserve">投标文件的编制要求及参考格式 </w:t>
      </w:r>
      <w:bookmarkStart w:id="504" w:name="_Hlt26955039"/>
      <w:r/>
      <w:bookmarkEnd w:id="504"/>
      <w:r/>
      <w:bookmarkStart w:id="505" w:name="_Hlt26671244"/>
      <w:r/>
      <w:bookmarkEnd w:id="505"/>
      <w:r/>
      <w:bookmarkStart w:id="506" w:name="_Toc49090576"/>
      <w:r/>
      <w:bookmarkStart w:id="507" w:name="_Toc288030359"/>
      <w:r/>
      <w:bookmarkStart w:id="508" w:name="_Toc120614282"/>
      <w:r/>
      <w:bookmarkStart w:id="509" w:name="_Toc282446331"/>
      <w:r/>
      <w:bookmarkStart w:id="510" w:name="_Toc26554094"/>
      <w:r/>
      <w:r/>
    </w:p>
    <w:p>
      <w:pPr>
        <w:pStyle w:val="749"/>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宋体" w:hAnsi="宋体" w:cs="宋体"/>
          <w:sz w:val="32"/>
          <w:szCs w:val="32"/>
        </w:rPr>
      </w:pPr>
      <w:r/>
      <w:bookmarkStart w:id="511" w:name="_Toc426469932"/>
      <w:r>
        <w:rPr>
          <w:rFonts w:hint="eastAsia" w:ascii="宋体" w:hAnsi="宋体" w:cs="宋体"/>
          <w:sz w:val="32"/>
          <w:szCs w:val="32"/>
        </w:rPr>
        <w:t xml:space="preserve">1.投标文件的组成</w:t>
      </w:r>
      <w:bookmarkEnd w:id="511"/>
      <w:r/>
      <w:r/>
    </w:p>
    <w:p>
      <w:pPr>
        <w:ind w:firstLine="560"/>
        <w:spacing w:line="500" w:lineRule="exact"/>
        <w:rPr>
          <w:rFonts w:ascii="宋体" w:hAnsi="宋体" w:cs="宋体"/>
          <w:sz w:val="28"/>
          <w:szCs w:val="28"/>
        </w:rPr>
      </w:pPr>
      <w:r/>
      <w:bookmarkStart w:id="512" w:name="_Toc426469933"/>
      <w:r>
        <w:rPr>
          <w:rFonts w:hint="eastAsia" w:ascii="宋体" w:hAnsi="宋体" w:cs="宋体"/>
          <w:sz w:val="28"/>
          <w:szCs w:val="28"/>
        </w:rPr>
        <w:t xml:space="preserve">见本招标文件第二章3.1条。</w:t>
      </w:r>
      <w:r/>
    </w:p>
    <w:p>
      <w:pPr>
        <w:spacing w:line="500" w:lineRule="exact"/>
        <w:rPr>
          <w:rFonts w:ascii="宋体" w:hAnsi="宋体" w:cs="宋体"/>
          <w:sz w:val="32"/>
          <w:szCs w:val="32"/>
        </w:rPr>
      </w:pPr>
      <w:r>
        <w:rPr>
          <w:rFonts w:hint="eastAsia" w:ascii="宋体" w:hAnsi="宋体" w:cs="宋体"/>
          <w:sz w:val="32"/>
          <w:szCs w:val="32"/>
        </w:rPr>
        <w:t xml:space="preserve">2.投标文件的编制内容及编制要求</w:t>
      </w:r>
      <w:bookmarkEnd w:id="512"/>
      <w:r/>
      <w:r/>
    </w:p>
    <w:p>
      <w:pPr>
        <w:spacing w:line="500" w:lineRule="exact"/>
        <w:rPr>
          <w:rFonts w:ascii="宋体" w:hAnsi="宋体" w:cs="宋体"/>
          <w:b/>
          <w:sz w:val="28"/>
          <w:szCs w:val="28"/>
        </w:rPr>
      </w:pPr>
      <w:r>
        <w:rPr>
          <w:rFonts w:hint="eastAsia" w:ascii="宋体" w:hAnsi="宋体" w:cs="宋体"/>
          <w:b/>
          <w:sz w:val="28"/>
          <w:szCs w:val="28"/>
        </w:rPr>
        <w:t xml:space="preserve">2.1开标一览表</w:t>
      </w:r>
      <w:r/>
    </w:p>
    <w:p>
      <w:pPr>
        <w:ind w:firstLine="560"/>
        <w:spacing w:line="500" w:lineRule="exact"/>
        <w:rPr>
          <w:rFonts w:ascii="宋体" w:hAnsi="宋体" w:cs="宋体"/>
          <w:sz w:val="28"/>
          <w:szCs w:val="28"/>
        </w:rPr>
      </w:pPr>
      <w:r>
        <w:rPr>
          <w:rFonts w:hint="eastAsia" w:ascii="宋体" w:hAnsi="宋体" w:cs="宋体"/>
          <w:sz w:val="28"/>
          <w:szCs w:val="28"/>
        </w:rPr>
        <w:t xml:space="preserve">2.1.1 投标人应按表中格式完整、清晰、正确填写；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2.1.2开标一览表中的价格应与投标文件中</w:t>
      </w:r>
      <w:bookmarkStart w:id="513" w:name="OLE_LINK8"/>
      <w:r>
        <w:rPr>
          <w:rFonts w:hint="eastAsia" w:ascii="宋体" w:hAnsi="宋体" w:cs="宋体"/>
          <w:sz w:val="28"/>
          <w:szCs w:val="28"/>
        </w:rPr>
        <w:t xml:space="preserve">投标报价明细表</w:t>
      </w:r>
      <w:bookmarkEnd w:id="513"/>
      <w:r>
        <w:rPr>
          <w:rFonts w:hint="eastAsia" w:ascii="宋体" w:hAnsi="宋体" w:cs="宋体"/>
          <w:sz w:val="28"/>
          <w:szCs w:val="28"/>
        </w:rPr>
        <w:t xml:space="preserve">中的价格一致。</w:t>
      </w:r>
      <w:r/>
    </w:p>
    <w:p>
      <w:pPr>
        <w:ind w:firstLine="560"/>
        <w:spacing w:line="500" w:lineRule="exact"/>
        <w:rPr>
          <w:rFonts w:ascii="宋体" w:hAnsi="宋体" w:cs="宋体"/>
          <w:sz w:val="28"/>
          <w:szCs w:val="28"/>
        </w:rPr>
      </w:pPr>
      <w:r>
        <w:rPr>
          <w:rFonts w:hint="eastAsia" w:ascii="宋体" w:hAnsi="宋体" w:cs="宋体"/>
          <w:sz w:val="28"/>
          <w:szCs w:val="28"/>
        </w:rPr>
        <w:t xml:space="preserve">2.1.3开标一览表格式见附件。</w:t>
      </w:r>
      <w:r/>
    </w:p>
    <w:p>
      <w:pPr>
        <w:spacing w:line="500" w:lineRule="exact"/>
        <w:rPr>
          <w:rFonts w:ascii="宋体" w:hAnsi="宋体" w:cs="宋体"/>
          <w:b/>
          <w:sz w:val="28"/>
          <w:szCs w:val="28"/>
        </w:rPr>
      </w:pPr>
      <w:r>
        <w:rPr>
          <w:rFonts w:hint="eastAsia" w:ascii="宋体" w:hAnsi="宋体" w:cs="宋体"/>
          <w:b/>
          <w:sz w:val="28"/>
          <w:szCs w:val="28"/>
        </w:rPr>
        <w:t xml:space="preserve">2.2 投标函</w:t>
      </w:r>
      <w:r/>
    </w:p>
    <w:p>
      <w:pPr>
        <w:ind w:firstLine="560"/>
        <w:spacing w:line="500" w:lineRule="exact"/>
        <w:rPr>
          <w:rFonts w:ascii="宋体" w:hAnsi="宋体" w:cs="宋体"/>
          <w:sz w:val="28"/>
          <w:szCs w:val="28"/>
        </w:rPr>
      </w:pPr>
      <w:r>
        <w:rPr>
          <w:rFonts w:hint="eastAsia" w:ascii="宋体" w:hAnsi="宋体" w:cs="宋体"/>
          <w:sz w:val="28"/>
          <w:szCs w:val="28"/>
        </w:rPr>
        <w:t xml:space="preserve">2.2.1投标人应按表中规定格式完整、清晰、正确填写；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2.2.2投标函必须加盖投标人法人公章并经法定代表人签字或签章。</w:t>
      </w:r>
      <w:r/>
    </w:p>
    <w:p>
      <w:pPr>
        <w:spacing w:line="500" w:lineRule="exact"/>
        <w:rPr>
          <w:rFonts w:ascii="宋体" w:hAnsi="宋体" w:cs="宋体"/>
          <w:b/>
          <w:sz w:val="28"/>
          <w:szCs w:val="28"/>
        </w:rPr>
      </w:pPr>
      <w:r>
        <w:rPr>
          <w:rFonts w:hint="eastAsia" w:ascii="宋体" w:hAnsi="宋体" w:cs="宋体"/>
          <w:b/>
          <w:sz w:val="28"/>
          <w:szCs w:val="28"/>
        </w:rPr>
        <w:t xml:space="preserve">2.3资格条件证明文件</w:t>
      </w:r>
      <w:r/>
    </w:p>
    <w:p>
      <w:pPr>
        <w:ind w:firstLine="560"/>
        <w:spacing w:line="500" w:lineRule="exact"/>
        <w:rPr>
          <w:rFonts w:ascii="宋体" w:hAnsi="宋体" w:cs="宋体"/>
          <w:sz w:val="28"/>
          <w:szCs w:val="28"/>
        </w:rPr>
      </w:pPr>
      <w:r>
        <w:rPr>
          <w:rFonts w:hint="eastAsia" w:ascii="宋体" w:hAnsi="宋体" w:cs="宋体"/>
          <w:sz w:val="28"/>
          <w:szCs w:val="28"/>
        </w:rPr>
        <w:t xml:space="preserve">（1）供应商基本资格条件承诺函；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（2）招标文件要求的其他资格条件证明材料。</w:t>
      </w:r>
      <w:r/>
    </w:p>
    <w:p>
      <w:pPr>
        <w:spacing w:line="500" w:lineRule="exact"/>
        <w:rPr>
          <w:rFonts w:ascii="宋体" w:hAnsi="宋体" w:cs="宋体"/>
          <w:b/>
          <w:sz w:val="28"/>
          <w:szCs w:val="28"/>
        </w:rPr>
      </w:pPr>
      <w:r>
        <w:rPr>
          <w:rFonts w:hint="eastAsia" w:ascii="宋体" w:hAnsi="宋体" w:cs="宋体"/>
          <w:b/>
          <w:sz w:val="28"/>
          <w:szCs w:val="28"/>
        </w:rPr>
        <w:t xml:space="preserve">2.4采购需求响应表</w:t>
      </w:r>
      <w:r/>
    </w:p>
    <w:p>
      <w:pPr>
        <w:ind w:firstLine="560"/>
        <w:spacing w:line="500" w:lineRule="exact"/>
        <w:rPr>
          <w:rFonts w:ascii="宋体" w:hAnsi="宋体" w:cs="宋体"/>
          <w:b/>
          <w:sz w:val="28"/>
          <w:szCs w:val="28"/>
        </w:rPr>
      </w:pPr>
      <w:r>
        <w:rPr>
          <w:rFonts w:hint="eastAsia" w:ascii="宋体" w:hAnsi="宋体" w:cs="宋体"/>
          <w:sz w:val="28"/>
          <w:szCs w:val="28"/>
        </w:rPr>
        <w:t xml:space="preserve">投标人应仔细阅读招标文件第五章采购需求，结合自身的实际情况，如实编制，格式自拟。</w:t>
      </w:r>
      <w:r>
        <w:rPr>
          <w:rFonts w:hint="eastAsia" w:ascii="宋体" w:hAnsi="宋体" w:cs="宋体"/>
          <w:b/>
          <w:sz w:val="28"/>
          <w:szCs w:val="28"/>
        </w:rPr>
        <w:t xml:space="preserve">采购需求响应表须详细说明实际提供的服务及其他采购需求中相关要求的响应情况。</w:t>
      </w:r>
      <w:r/>
    </w:p>
    <w:p>
      <w:pPr>
        <w:spacing w:line="500" w:lineRule="exact"/>
        <w:rPr>
          <w:rFonts w:ascii="宋体" w:hAnsi="宋体" w:cs="宋体"/>
          <w:b/>
          <w:sz w:val="28"/>
          <w:szCs w:val="28"/>
        </w:rPr>
      </w:pPr>
      <w:r>
        <w:rPr>
          <w:rFonts w:hint="eastAsia" w:ascii="宋体" w:hAnsi="宋体" w:cs="宋体"/>
          <w:b/>
          <w:sz w:val="28"/>
          <w:szCs w:val="28"/>
        </w:rPr>
        <w:t xml:space="preserve">2.5投标人认为应列入投标文件的其他材料</w:t>
      </w:r>
      <w:r/>
    </w:p>
    <w:p>
      <w:pPr>
        <w:ind w:firstLine="560"/>
        <w:spacing w:line="500" w:lineRule="exact"/>
        <w:rPr>
          <w:rFonts w:ascii="宋体" w:hAnsi="宋体" w:cs="宋体"/>
          <w:sz w:val="28"/>
          <w:szCs w:val="28"/>
        </w:rPr>
      </w:pPr>
      <w:r>
        <w:rPr>
          <w:rFonts w:hint="eastAsia" w:ascii="宋体" w:hAnsi="宋体" w:cs="宋体"/>
          <w:sz w:val="28"/>
          <w:szCs w:val="28"/>
        </w:rPr>
        <w:t xml:space="preserve">投标人应对照第三章评标办法中的评审因素，结合自身的实际情况，如实编制，格式自拟。</w:t>
      </w:r>
      <w:r/>
    </w:p>
    <w:p>
      <w:pPr>
        <w:spacing w:line="500" w:lineRule="exact"/>
        <w:rPr>
          <w:rFonts w:ascii="宋体" w:hAnsi="宋体" w:cs="宋体"/>
          <w:sz w:val="32"/>
          <w:szCs w:val="32"/>
        </w:rPr>
      </w:pPr>
      <w:r/>
      <w:bookmarkStart w:id="514" w:name="_Toc426469934"/>
      <w:r>
        <w:rPr>
          <w:rFonts w:hint="eastAsia" w:ascii="宋体" w:hAnsi="宋体" w:cs="宋体"/>
          <w:sz w:val="32"/>
          <w:szCs w:val="32"/>
        </w:rPr>
        <w:br w:type="page" w:clear="all"/>
      </w:r>
      <w:r>
        <w:rPr>
          <w:rFonts w:hint="eastAsia" w:ascii="宋体" w:hAnsi="宋体" w:cs="宋体"/>
          <w:sz w:val="32"/>
          <w:szCs w:val="32"/>
        </w:rPr>
        <w:t xml:space="preserve">3. 投标文件参考格式</w:t>
      </w:r>
      <w:bookmarkEnd w:id="506"/>
      <w:r/>
      <w:bookmarkEnd w:id="507"/>
      <w:r/>
      <w:bookmarkEnd w:id="508"/>
      <w:r/>
      <w:bookmarkEnd w:id="509"/>
      <w:r/>
      <w:bookmarkEnd w:id="510"/>
      <w:r/>
      <w:bookmarkEnd w:id="514"/>
      <w:r/>
      <w:bookmarkStart w:id="515" w:name="_Toc426469936"/>
      <w:r/>
      <w:bookmarkStart w:id="516" w:name="_Toc426469937"/>
      <w:r/>
      <w:bookmarkStart w:id="517" w:name="_Toc390098915"/>
      <w:r/>
      <w:bookmarkStart w:id="518" w:name="_Toc383679822"/>
      <w:r/>
      <w:bookmarkStart w:id="519" w:name="_Toc383626069"/>
      <w:r/>
      <w:bookmarkStart w:id="520" w:name="_Toc382812507"/>
      <w:r/>
      <w:bookmarkStart w:id="521" w:name="_Toc382813957"/>
      <w:r/>
      <w:bookmarkStart w:id="522" w:name="_Toc383623749"/>
      <w:r/>
      <w:bookmarkStart w:id="523" w:name="_Toc382814038"/>
      <w:r/>
      <w:bookmarkStart w:id="524" w:name="_Toc383587529"/>
      <w:r/>
      <w:bookmarkStart w:id="525" w:name="_Toc390099111"/>
      <w:r/>
      <w:bookmarkStart w:id="526" w:name="_Toc390246998"/>
      <w:r/>
      <w:bookmarkStart w:id="527" w:name="_Toc382811202"/>
      <w:r/>
      <w:bookmarkStart w:id="528" w:name="_Toc382811607"/>
      <w:r/>
      <w:bookmarkStart w:id="529" w:name="_Toc382812316"/>
      <w:r/>
      <w:bookmarkStart w:id="530" w:name="_Toc383698722"/>
      <w:r/>
      <w:bookmarkStart w:id="531" w:name="_Toc383624021"/>
      <w:r/>
      <w:r/>
    </w:p>
    <w:p>
      <w:pPr>
        <w:rPr>
          <w:rFonts w:ascii="宋体" w:hAnsi="宋体" w:cs="宋体"/>
          <w:b/>
          <w:sz w:val="28"/>
          <w:szCs w:val="28"/>
        </w:rPr>
      </w:pPr>
      <w:r>
        <w:rPr>
          <w:rFonts w:hint="eastAsia" w:ascii="宋体" w:hAnsi="宋体" w:cs="宋体"/>
          <w:b/>
          <w:sz w:val="28"/>
          <w:szCs w:val="28"/>
        </w:rPr>
        <w:t xml:space="preserve">3.1投标文件封面格式</w:t>
      </w:r>
      <w:bookmarkEnd w:id="515"/>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8"/>
          <w:szCs w:val="48"/>
        </w:rPr>
      </w:pPr>
      <w:r>
        <w:rPr>
          <w:rFonts w:hint="eastAsia" w:ascii="宋体" w:hAnsi="宋体" w:cs="宋体"/>
          <w:b/>
          <w:sz w:val="48"/>
          <w:szCs w:val="48"/>
        </w:rPr>
        <w:t xml:space="preserve">投标文件</w:t>
      </w:r>
      <w:r/>
    </w:p>
    <w:p>
      <w:pPr>
        <w:pStyle w:val="734"/>
        <w:rPr>
          <w:rFonts w:ascii="宋体" w:hAnsi="宋体" w:cs="宋体"/>
        </w:rPr>
      </w:pPr>
      <w:r>
        <w:rPr>
          <w:rFonts w:ascii="宋体" w:hAnsi="宋体" w:cs="宋体"/>
        </w:rPr>
      </w:r>
      <w:r/>
    </w:p>
    <w:p>
      <w:pPr>
        <w:ind w:firstLine="2520"/>
        <w:spacing w:line="440" w:lineRule="exact"/>
        <w:rPr>
          <w:rFonts w:ascii="宋体" w:hAnsi="宋体" w:cs="宋体"/>
          <w:sz w:val="28"/>
          <w:szCs w:val="28"/>
        </w:rPr>
      </w:pPr>
      <w:r>
        <w:rPr>
          <w:rFonts w:hint="eastAsia" w:ascii="宋体" w:hAnsi="宋体" w:cs="宋体"/>
          <w:sz w:val="28"/>
          <w:szCs w:val="28"/>
        </w:rPr>
        <w:t xml:space="preserve">采购项目名称：</w:t>
      </w:r>
      <w:r/>
    </w:p>
    <w:p>
      <w:pPr>
        <w:ind w:firstLine="2520"/>
        <w:spacing w:line="440" w:lineRule="exact"/>
        <w:rPr>
          <w:rFonts w:ascii="宋体" w:hAnsi="宋体" w:cs="宋体"/>
          <w:sz w:val="28"/>
          <w:szCs w:val="28"/>
          <w:u w:val="single"/>
        </w:rPr>
      </w:pPr>
      <w:r>
        <w:rPr>
          <w:rFonts w:hint="eastAsia" w:ascii="宋体" w:hAnsi="宋体" w:cs="宋体"/>
          <w:sz w:val="28"/>
          <w:szCs w:val="28"/>
        </w:rPr>
        <w:t xml:space="preserve">采购项目编号：</w:t>
      </w:r>
      <w:r/>
    </w:p>
    <w:p>
      <w:pPr>
        <w:ind w:firstLine="1260"/>
        <w:spacing w:line="360" w:lineRule="exact"/>
        <w:rPr>
          <w:rFonts w:ascii="宋体" w:hAnsi="宋体" w:cs="宋体"/>
          <w:sz w:val="28"/>
          <w:szCs w:val="28"/>
        </w:rPr>
      </w:pPr>
      <w:r>
        <w:rPr>
          <w:rFonts w:ascii="宋体" w:hAnsi="宋体" w:cs="宋体"/>
          <w:sz w:val="28"/>
          <w:szCs w:val="28"/>
        </w:rPr>
      </w:r>
      <w:r/>
    </w:p>
    <w:p>
      <w:pPr>
        <w:ind w:firstLine="560"/>
        <w:spacing w:line="360" w:lineRule="exact"/>
        <w:rPr>
          <w:rFonts w:ascii="宋体" w:hAnsi="宋体" w:cs="宋体"/>
          <w:sz w:val="28"/>
          <w:szCs w:val="28"/>
        </w:rPr>
      </w:pPr>
      <w:r>
        <w:rPr>
          <w:rFonts w:ascii="宋体" w:hAnsi="宋体" w:cs="宋体"/>
          <w:sz w:val="28"/>
          <w:szCs w:val="28"/>
        </w:rPr>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u w:val="single"/>
        </w:rPr>
        <w:t xml:space="preserve">  （盖法人章）     </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2520"/>
        <w:spacing w:line="400" w:lineRule="exact"/>
        <w:rPr>
          <w:rFonts w:ascii="宋体" w:hAnsi="宋体" w:cs="宋体"/>
          <w:sz w:val="28"/>
          <w:szCs w:val="28"/>
        </w:rPr>
      </w:pPr>
      <w:r>
        <w:rPr>
          <w:rFonts w:hint="eastAsia" w:ascii="宋体" w:hAnsi="宋体" w:cs="宋体"/>
          <w:sz w:val="28"/>
          <w:szCs w:val="28"/>
        </w:rPr>
        <w:t xml:space="preserve">日期：______年____月____日</w:t>
      </w:r>
      <w:r/>
    </w:p>
    <w:p>
      <w:pPr>
        <w:ind w:firstLine="2520"/>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b/>
          <w:sz w:val="28"/>
          <w:szCs w:val="28"/>
        </w:rPr>
      </w:pPr>
      <w:r>
        <w:rPr>
          <w:rFonts w:hint="eastAsia" w:ascii="宋体" w:hAnsi="宋体" w:cs="宋体"/>
          <w:b/>
          <w:sz w:val="28"/>
          <w:szCs w:val="28"/>
        </w:rPr>
        <w:t xml:space="preserve">3.2 开标一览表</w:t>
      </w:r>
      <w:bookmarkEnd w:id="516"/>
      <w:r/>
      <w:r/>
    </w:p>
    <w:p>
      <w:pPr>
        <w:jc w:val="center"/>
        <w:rPr>
          <w:b/>
          <w:sz w:val="32"/>
          <w:szCs w:val="32"/>
        </w:rPr>
      </w:pPr>
      <w:r/>
      <w:bookmarkStart w:id="532" w:name="_Toc426469938"/>
      <w:r>
        <w:rPr>
          <w:rFonts w:hint="eastAsia" w:ascii="宋体" w:hAnsi="宋体" w:cs="宋体"/>
        </w:rPr>
        <w:t xml:space="preserve">    </w:t>
      </w:r>
      <w:r>
        <w:rPr>
          <w:rFonts w:hint="eastAsia"/>
          <w:b/>
          <w:sz w:val="32"/>
          <w:szCs w:val="32"/>
        </w:rPr>
        <w:t xml:space="preserve">开标一览表</w:t>
      </w:r>
      <w:r/>
    </w:p>
    <w:p>
      <w:pPr>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p>
    <w:p>
      <w:pPr>
        <w:rPr>
          <w:rFonts w:ascii="宋体" w:hAnsi="宋体" w:cs="宋体"/>
        </w:rPr>
      </w:pPr>
      <w:r>
        <w:rPr>
          <w:rFonts w:ascii="宋体" w:hAnsi="宋体" w:cs="宋体"/>
        </w:rPr>
      </w:r>
      <w:r/>
    </w:p>
    <w:p>
      <w:pPr>
        <w:rPr>
          <w:rFonts w:ascii="宋体" w:hAnsi="宋体" w:cs="宋体"/>
          <w:sz w:val="28"/>
          <w:szCs w:val="28"/>
        </w:rPr>
      </w:pPr>
      <w:r>
        <w:rPr>
          <w:rFonts w:hint="eastAsia" w:ascii="宋体" w:hAnsi="宋体" w:cs="宋体"/>
        </w:rPr>
        <w:br w:type="page" w:clear="all"/>
      </w:r>
      <w:r>
        <w:rPr>
          <w:rFonts w:hint="eastAsia" w:ascii="宋体" w:hAnsi="宋体" w:cs="宋体"/>
          <w:b/>
          <w:sz w:val="28"/>
          <w:szCs w:val="28"/>
        </w:rPr>
        <w:t xml:space="preserve">3.3 投标函</w:t>
      </w:r>
      <w:bookmarkEnd w:id="532"/>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jc w:val="center"/>
        <w:rPr>
          <w:rFonts w:ascii="宋体" w:hAnsi="宋体" w:cs="宋体"/>
          <w:sz w:val="44"/>
          <w:szCs w:val="44"/>
        </w:rPr>
      </w:pPr>
      <w:r/>
      <w:bookmarkStart w:id="533" w:name="_Toc367785041"/>
      <w:r>
        <w:rPr>
          <w:rFonts w:hint="eastAsia" w:ascii="宋体" w:hAnsi="宋体" w:cs="宋体"/>
          <w:sz w:val="44"/>
          <w:szCs w:val="44"/>
        </w:rPr>
        <w:t xml:space="preserve">投 标 函</w:t>
      </w:r>
      <w:bookmarkEnd w:id="533"/>
      <w:r/>
      <w:r/>
    </w:p>
    <w:p>
      <w:pPr>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（项目名称）    </w:t>
      </w:r>
      <w:r>
        <w:rPr>
          <w:rFonts w:hint="eastAsia" w:ascii="宋体" w:hAnsi="宋体" w:cs="宋体"/>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rPr>
      </w:pPr>
      <w:r>
        <w:rPr>
          <w:rFonts w:hint="eastAsia" w:ascii="宋体" w:hAnsi="宋体" w:cs="宋体"/>
          <w:sz w:val="28"/>
          <w:szCs w:val="28"/>
        </w:rPr>
        <w:t xml:space="preserve">1、投标价格为（大写）：</w:t>
      </w:r>
      <w:r>
        <w:rPr>
          <w:rFonts w:hint="eastAsia" w:ascii="宋体" w:hAnsi="宋体" w:cs="宋体"/>
          <w:sz w:val="28"/>
          <w:szCs w:val="28"/>
          <w:u w:val="single"/>
        </w:rPr>
        <w:t xml:space="preserve">                         </w:t>
      </w:r>
      <w:r>
        <w:rPr>
          <w:rFonts w:hint="eastAsia" w:ascii="宋体" w:hAnsi="宋体" w:cs="宋体"/>
          <w:sz w:val="28"/>
          <w:szCs w:val="28"/>
        </w:rPr>
        <w:t xml:space="preserve">。如我方中标，投标总价即为合同价，在履行合同约定的责任和义务的过程中不再要求调增。</w:t>
      </w:r>
      <w:r/>
    </w:p>
    <w:p>
      <w:pPr>
        <w:ind w:firstLine="560"/>
        <w:spacing w:line="520" w:lineRule="exact"/>
        <w:rPr>
          <w:rFonts w:ascii="宋体" w:hAnsi="宋体" w:cs="宋体"/>
          <w:sz w:val="28"/>
          <w:szCs w:val="28"/>
        </w:rPr>
      </w:pPr>
      <w:r>
        <w:rPr>
          <w:rFonts w:hint="eastAsia" w:ascii="宋体" w:hAnsi="宋体" w:cs="宋体"/>
          <w:sz w:val="28"/>
          <w:szCs w:val="28"/>
        </w:rPr>
        <w:t xml:space="preserve">2、合同履行期限（工期）：</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3、投标有效期：</w:t>
      </w:r>
      <w:r>
        <w:rPr>
          <w:rFonts w:hint="eastAsia" w:ascii="宋体" w:hAnsi="宋体" w:cs="宋体"/>
          <w:sz w:val="28"/>
          <w:szCs w:val="28"/>
          <w:u w:val="single"/>
        </w:rPr>
        <w:t xml:space="preserve"> 60天 </w:t>
      </w:r>
      <w:r>
        <w:rPr>
          <w:rFonts w:hint="eastAsia" w:ascii="宋体" w:hAnsi="宋体" w:cs="宋体"/>
          <w:sz w:val="28"/>
          <w:szCs w:val="28"/>
        </w:rPr>
        <w:t xml:space="preserve">。在投标有效期内我方同意遵守本投标文件中的承诺且在此期限期满之前投标文件对我方具有法律约束力。</w:t>
      </w:r>
      <w:r/>
    </w:p>
    <w:p>
      <w:pPr>
        <w:ind w:firstLine="560"/>
        <w:spacing w:line="520" w:lineRule="exact"/>
        <w:rPr>
          <w:rFonts w:ascii="宋体" w:hAnsi="宋体" w:cs="宋体"/>
          <w:sz w:val="28"/>
          <w:szCs w:val="28"/>
        </w:rPr>
      </w:pPr>
      <w:r>
        <w:rPr>
          <w:rFonts w:hint="eastAsia" w:ascii="宋体" w:hAnsi="宋体" w:cs="宋体"/>
          <w:sz w:val="28"/>
          <w:szCs w:val="28"/>
        </w:rPr>
        <w:t xml:space="preserve">4、我方已详细审查全部招标文件。我们完全理解并同意放弃对这方面有不明及误解的权力。</w:t>
      </w:r>
      <w:r/>
    </w:p>
    <w:p>
      <w:pPr>
        <w:ind w:firstLine="560"/>
        <w:spacing w:line="520" w:lineRule="exact"/>
        <w:rPr>
          <w:rFonts w:ascii="宋体" w:hAnsi="宋体" w:cs="宋体"/>
          <w:sz w:val="28"/>
          <w:szCs w:val="28"/>
        </w:rPr>
      </w:pPr>
      <w:r>
        <w:rPr>
          <w:rFonts w:hint="eastAsia" w:ascii="宋体" w:hAnsi="宋体" w:cs="宋体"/>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734"/>
        <w:rPr>
          <w:rFonts w:ascii="宋体" w:hAnsi="宋体" w:cs="宋体"/>
        </w:rPr>
      </w:pPr>
      <w:r>
        <w:rPr>
          <w:rFonts w:ascii="宋体" w:hAnsi="宋体" w:cs="宋体"/>
        </w:rPr>
      </w:r>
      <w:r/>
    </w:p>
    <w:p>
      <w:pPr>
        <w:ind w:right="560" w:firstLine="3080"/>
        <w:spacing w:line="520" w:lineRule="exact"/>
        <w:rPr>
          <w:rFonts w:ascii="宋体" w:hAnsi="宋体" w:cs="宋体"/>
          <w:sz w:val="28"/>
          <w:szCs w:val="28"/>
        </w:rPr>
      </w:pPr>
      <w:r>
        <w:rPr>
          <w:rFonts w:hint="eastAsia" w:ascii="宋体" w:hAnsi="宋体" w:cs="宋体"/>
          <w:sz w:val="28"/>
          <w:szCs w:val="28"/>
        </w:rPr>
        <w:t xml:space="preserve">投标人名称(盖法人章)：</w:t>
      </w:r>
      <w:r/>
    </w:p>
    <w:p>
      <w:pPr>
        <w:ind w:firstLine="3080"/>
        <w:spacing w:line="520" w:lineRule="exact"/>
        <w:rPr>
          <w:rFonts w:ascii="宋体" w:hAnsi="宋体" w:cs="宋体"/>
          <w:sz w:val="28"/>
          <w:szCs w:val="28"/>
        </w:rPr>
      </w:pPr>
      <w:r>
        <w:rPr>
          <w:rFonts w:hint="eastAsia" w:ascii="宋体" w:hAnsi="宋体" w:cs="宋体"/>
          <w:sz w:val="28"/>
          <w:szCs w:val="28"/>
        </w:rPr>
        <w:t xml:space="preserve">法定代表人 (签字或签章)：</w:t>
      </w:r>
      <w:r/>
    </w:p>
    <w:p>
      <w:pPr>
        <w:ind w:firstLine="3080"/>
        <w:spacing w:line="520" w:lineRule="exact"/>
        <w:rPr>
          <w:rFonts w:ascii="宋体" w:hAnsi="宋体" w:cs="宋体"/>
          <w:sz w:val="28"/>
          <w:szCs w:val="28"/>
        </w:rPr>
      </w:pPr>
      <w:r>
        <w:rPr>
          <w:rFonts w:hint="eastAsia" w:ascii="宋体" w:hAnsi="宋体" w:cs="宋体"/>
          <w:sz w:val="28"/>
          <w:szCs w:val="28"/>
        </w:rPr>
        <w:t xml:space="preserve">日期：   年  月   日</w:t>
      </w:r>
      <w:r/>
    </w:p>
    <w:p>
      <w:pPr>
        <w:jc w:val="left"/>
        <w:spacing w:line="500" w:lineRule="exact"/>
        <w:widowControl/>
        <w:rPr>
          <w:rFonts w:ascii="宋体" w:hAnsi="宋体" w:cs="宋体"/>
          <w:b/>
          <w:sz w:val="32"/>
          <w:szCs w:val="32"/>
        </w:rPr>
      </w:pPr>
      <w:r>
        <w:rPr>
          <w:rFonts w:hint="eastAsia" w:ascii="宋体" w:hAnsi="宋体" w:cs="宋体"/>
          <w:sz w:val="28"/>
          <w:szCs w:val="28"/>
        </w:rPr>
        <w:br w:type="page" w:clear="all"/>
      </w:r>
      <w:r>
        <w:rPr>
          <w:rFonts w:hint="eastAsia" w:ascii="宋体" w:hAnsi="宋体" w:cs="宋体"/>
          <w:b/>
          <w:sz w:val="32"/>
          <w:szCs w:val="32"/>
        </w:rPr>
        <w:t xml:space="preserve">3.4供应商资格条件证明文件</w:t>
      </w:r>
      <w:r/>
    </w:p>
    <w:p>
      <w:pPr>
        <w:pStyle w:val="732"/>
        <w:spacing w:line="500" w:lineRule="exact"/>
        <w:rPr>
          <w:rFonts w:hAnsi="宋体" w:cs="宋体"/>
          <w:b/>
          <w:sz w:val="28"/>
          <w:szCs w:val="28"/>
        </w:rPr>
      </w:pPr>
      <w:r>
        <w:rPr>
          <w:rFonts w:hint="eastAsia" w:hAnsi="宋体" w:cs="宋体"/>
          <w:b/>
          <w:sz w:val="28"/>
          <w:szCs w:val="28"/>
        </w:rPr>
        <w:t xml:space="preserve">（1）供应商基本资格条件承诺函</w:t>
      </w:r>
      <w:r/>
    </w:p>
    <w:p>
      <w:pPr>
        <w:pStyle w:val="732"/>
        <w:jc w:val="center"/>
        <w:spacing w:line="500" w:lineRule="exact"/>
        <w:rPr>
          <w:rFonts w:hAnsi="宋体" w:cs="宋体"/>
          <w:b/>
          <w:sz w:val="28"/>
          <w:szCs w:val="28"/>
        </w:rPr>
      </w:pPr>
      <w:r>
        <w:rPr>
          <w:rFonts w:hint="eastAsia" w:hAnsi="宋体" w:cs="宋体"/>
          <w:b/>
          <w:sz w:val="28"/>
          <w:szCs w:val="28"/>
        </w:rPr>
        <w:t xml:space="preserve">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一、按照《政府采购法》第二十二条规定的供应商基本资格条件，我公司郑重承诺如下：</w:t>
      </w:r>
      <w:r/>
    </w:p>
    <w:p>
      <w:pPr>
        <w:pStyle w:val="732"/>
        <w:ind w:firstLine="560"/>
        <w:spacing w:line="500" w:lineRule="exact"/>
        <w:rPr>
          <w:rFonts w:hAnsi="宋体" w:cs="宋体"/>
          <w:sz w:val="28"/>
          <w:szCs w:val="28"/>
          <w:shd w:val="clear" w:color="auto" w:fill="ffffff"/>
        </w:rPr>
      </w:pPr>
      <w:r>
        <w:rPr>
          <w:rFonts w:hint="eastAsia" w:hAnsi="宋体" w:cs="宋体"/>
          <w:sz w:val="28"/>
          <w:szCs w:val="28"/>
        </w:rPr>
        <w:t xml:space="preserve">1.我公司具有</w:t>
      </w:r>
      <w:r>
        <w:rPr>
          <w:rFonts w:hint="eastAsia" w:hAnsi="宋体" w:cs="宋体"/>
          <w:sz w:val="28"/>
          <w:szCs w:val="28"/>
          <w:shd w:val="clear" w:color="auto" w:fill="ffffff"/>
        </w:rPr>
        <w:t xml:space="preserve">良好的商业信誉和健全的财务制度；</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2.我公司具有履行合同所必须的设备和专业技术能力；</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3.我公司具有依法缴纳税收和社会保障资金的良好记录；</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4.我公司参加政府采购活动前三年内，在经营活动中没有重大违法记录；</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8"/>
          <w:szCs w:val="28"/>
        </w:rPr>
        <w:t xml:space="preserve">。</w:t>
      </w:r>
      <w:r/>
    </w:p>
    <w:p>
      <w:pPr>
        <w:pStyle w:val="732"/>
        <w:ind w:firstLine="560"/>
        <w:spacing w:line="500" w:lineRule="exact"/>
        <w:rPr>
          <w:rFonts w:hAnsi="宋体" w:cs="宋体"/>
          <w:sz w:val="28"/>
          <w:szCs w:val="28"/>
        </w:rPr>
      </w:pPr>
      <w:r>
        <w:rPr>
          <w:rFonts w:hint="eastAsia" w:hAnsi="宋体" w:cs="宋体"/>
          <w:sz w:val="28"/>
          <w:szCs w:val="28"/>
          <w:shd w:val="clear" w:color="auto" w:fill="ffffff"/>
        </w:rPr>
        <w:t xml:space="preserve">二、</w:t>
      </w:r>
      <w:r>
        <w:rPr>
          <w:rFonts w:hint="eastAsia" w:hAnsi="宋体" w:cs="宋体"/>
          <w:sz w:val="28"/>
          <w:szCs w:val="28"/>
        </w:rPr>
        <w:t xml:space="preserve">我公司承诺：在本次投标过程中，我公司不存在本项目招标文件第二章第1.4.3条所列情形之一。</w:t>
      </w:r>
      <w:r/>
    </w:p>
    <w:p>
      <w:pPr>
        <w:ind w:firstLine="3920"/>
        <w:spacing w:before="156" w:line="500" w:lineRule="exact"/>
        <w:rPr>
          <w:rFonts w:ascii="宋体" w:hAnsi="宋体" w:cs="宋体"/>
          <w:sz w:val="28"/>
          <w:szCs w:val="28"/>
        </w:rPr>
      </w:pPr>
      <w:r>
        <w:rPr>
          <w:rFonts w:ascii="宋体" w:hAnsi="宋体" w:cs="宋体"/>
          <w:sz w:val="28"/>
          <w:szCs w:val="28"/>
        </w:rPr>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投标人名称(盖法人章)：</w:t>
      </w:r>
      <w:r/>
    </w:p>
    <w:p>
      <w:pPr>
        <w:ind w:firstLine="3920"/>
        <w:spacing w:before="156" w:line="500" w:lineRule="exact"/>
        <w:rPr>
          <w:rFonts w:ascii="宋体" w:hAnsi="宋体" w:cs="宋体"/>
          <w:sz w:val="28"/>
          <w:szCs w:val="28"/>
          <w:u w:val="single"/>
        </w:rPr>
      </w:pPr>
      <w:r>
        <w:rPr>
          <w:rFonts w:hint="eastAsia" w:ascii="宋体" w:hAnsi="宋体" w:cs="宋体"/>
          <w:sz w:val="28"/>
          <w:szCs w:val="28"/>
        </w:rPr>
        <w:t xml:space="preserve">法定代表人 (签字或签章)：</w:t>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日期：   年  月   日</w:t>
      </w:r>
      <w:r/>
    </w:p>
    <w:p>
      <w:pPr>
        <w:pStyle w:val="732"/>
        <w:spacing w:line="500" w:lineRule="exact"/>
        <w:rPr>
          <w:rFonts w:hAnsi="宋体" w:cs="宋体"/>
          <w:b/>
          <w:sz w:val="28"/>
          <w:szCs w:val="28"/>
        </w:rPr>
      </w:pPr>
      <w:r>
        <w:rPr>
          <w:rFonts w:hAnsi="宋体" w:cs="宋体"/>
          <w:b/>
          <w:sz w:val="28"/>
          <w:szCs w:val="28"/>
        </w:rPr>
      </w:r>
      <w:r/>
    </w:p>
    <w:p>
      <w:pPr>
        <w:pStyle w:val="732"/>
        <w:spacing w:line="500" w:lineRule="exact"/>
        <w:rPr>
          <w:rFonts w:hAnsi="宋体" w:cs="宋体"/>
          <w:b/>
          <w:sz w:val="28"/>
          <w:szCs w:val="28"/>
        </w:rPr>
      </w:pPr>
      <w:r>
        <w:rPr>
          <w:rFonts w:hint="eastAsia" w:hAnsi="宋体" w:cs="宋体"/>
          <w:b/>
          <w:sz w:val="28"/>
          <w:szCs w:val="28"/>
        </w:rPr>
        <w:t xml:space="preserve">（2）招标文件要求的其他资格条件及证明材料</w:t>
      </w:r>
      <w:r/>
    </w:p>
    <w:p>
      <w:pPr>
        <w:pStyle w:val="732"/>
        <w:ind w:firstLine="560"/>
        <w:spacing w:line="500" w:lineRule="exact"/>
        <w:rPr>
          <w:rFonts w:hAnsi="宋体" w:cs="宋体"/>
          <w:sz w:val="28"/>
          <w:szCs w:val="28"/>
        </w:rPr>
      </w:pPr>
      <w:r>
        <w:rPr>
          <w:rFonts w:hint="eastAsia" w:hAnsi="宋体" w:cs="宋体"/>
          <w:sz w:val="28"/>
          <w:szCs w:val="28"/>
        </w:rPr>
        <w:t xml:space="preserve">1.具有有效的营业执照（附证书的复印件）；</w:t>
      </w:r>
      <w:r/>
    </w:p>
    <w:p>
      <w:pPr>
        <w:pStyle w:val="732"/>
        <w:ind w:firstLine="560"/>
        <w:spacing w:line="500" w:lineRule="exact"/>
        <w:rPr>
          <w:rFonts w:hAnsi="宋体" w:cs="宋体"/>
          <w:sz w:val="28"/>
          <w:szCs w:val="28"/>
        </w:rPr>
      </w:pPr>
      <w:r>
        <w:rPr>
          <w:rFonts w:hint="eastAsia" w:hAnsi="宋体" w:cs="宋体"/>
          <w:sz w:val="28"/>
          <w:szCs w:val="28"/>
        </w:rPr>
        <w:t xml:space="preserve">2.中小企业声明函（参考格式附后）；</w:t>
      </w:r>
      <w:r/>
    </w:p>
    <w:p>
      <w:pPr>
        <w:pStyle w:val="732"/>
        <w:ind w:firstLine="560"/>
        <w:spacing w:line="500" w:lineRule="exact"/>
        <w:rPr>
          <w:rFonts w:hAnsi="宋体" w:cs="宋体"/>
          <w:b/>
          <w:sz w:val="28"/>
          <w:szCs w:val="28"/>
        </w:rPr>
      </w:pPr>
      <w:r>
        <w:rPr>
          <w:rFonts w:hint="eastAsia" w:hAnsi="宋体" w:cs="宋体"/>
          <w:sz w:val="28"/>
          <w:szCs w:val="28"/>
        </w:rPr>
        <w:t xml:space="preserve">3.特定资格要求：无。</w:t>
      </w:r>
      <w:r/>
    </w:p>
    <w:p>
      <w:pPr>
        <w:jc w:val="left"/>
        <w:widowControl/>
        <w:rPr>
          <w:rFonts w:ascii="宋体" w:hAnsi="宋体" w:cs="宋体"/>
          <w:sz w:val="30"/>
          <w:szCs w:val="30"/>
        </w:rPr>
      </w:pPr>
      <w:r>
        <w:rPr>
          <w:rFonts w:hint="eastAsia" w:ascii="宋体" w:hAnsi="宋体" w:cs="宋体"/>
          <w:b/>
          <w:sz w:val="30"/>
          <w:szCs w:val="30"/>
        </w:rPr>
        <w:br w:type="page" w:clear="all"/>
      </w:r>
      <w:r>
        <w:rPr>
          <w:rFonts w:hint="eastAsia" w:ascii="宋体" w:hAnsi="宋体" w:cs="宋体"/>
          <w:b/>
          <w:sz w:val="30"/>
          <w:szCs w:val="30"/>
        </w:rPr>
        <w:t xml:space="preserve">附件：中小企业声明函</w:t>
      </w:r>
      <w:r/>
    </w:p>
    <w:p>
      <w:pPr>
        <w:pStyle w:val="936"/>
        <w:ind w:right="-210" w:firstLine="42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936"/>
        <w:ind w:firstLine="420"/>
        <w:spacing w:line="460" w:lineRule="exact"/>
        <w:rPr>
          <w:rFonts w:hint="default" w:hAnsi="宋体" w:eastAsia="宋体" w:cs="宋体"/>
          <w:color w:val="000000"/>
          <w:szCs w:val="28"/>
        </w:rPr>
      </w:pPr>
      <w:r>
        <w:rPr>
          <w:rFonts w:hAnsi="宋体" w:eastAsia="宋体" w:cs="宋体"/>
          <w:color w:val="000000"/>
          <w:szCs w:val="28"/>
        </w:rPr>
        <w:t xml:space="preserve">本公司（联合体）郑重声明，根据《政府采购促进中小企业发展管理办法》（财库[2020]46号）的规定，本公司参加</w:t>
      </w:r>
      <w:r>
        <w:rPr>
          <w:rFonts w:hAnsi="宋体" w:eastAsia="宋体" w:cs="宋体"/>
          <w:color w:val="000000"/>
          <w:szCs w:val="28"/>
          <w:u w:val="single"/>
        </w:rPr>
        <w:t xml:space="preserve">（单位名称）</w:t>
      </w:r>
      <w:r>
        <w:rPr>
          <w:rFonts w:hAnsi="宋体" w:eastAsia="宋体" w:cs="宋体"/>
          <w:color w:val="000000"/>
          <w:szCs w:val="28"/>
        </w:rPr>
        <w:t xml:space="preserve">的</w:t>
      </w:r>
      <w:r>
        <w:rPr>
          <w:rFonts w:hAnsi="宋体" w:eastAsia="宋体" w:cs="宋体"/>
          <w:color w:val="000000"/>
          <w:szCs w:val="28"/>
          <w:u w:val="single"/>
        </w:rPr>
        <w:t xml:space="preserve">（项目名称）</w:t>
      </w:r>
      <w:r>
        <w:rPr>
          <w:rFonts w:hAnsi="宋体" w:eastAsia="宋体" w:cs="宋体"/>
          <w:color w:val="000000"/>
          <w:szCs w:val="28"/>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1.</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2.</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pStyle w:val="914"/>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760"/>
        <w:spacing w:line="460" w:lineRule="exact"/>
        <w:rPr>
          <w:rFonts w:ascii="宋体" w:hAnsi="宋体" w:cs="宋体"/>
          <w:sz w:val="28"/>
          <w:szCs w:val="28"/>
        </w:rPr>
      </w:pPr>
      <w:r>
        <w:rPr>
          <w:rFonts w:hint="eastAsia" w:ascii="宋体" w:hAnsi="宋体" w:cs="宋体"/>
          <w:sz w:val="28"/>
          <w:szCs w:val="28"/>
        </w:rPr>
        <w:t xml:space="preserve">企业名称（盖章）：</w:t>
      </w:r>
      <w:r/>
    </w:p>
    <w:p>
      <w:pPr>
        <w:ind w:firstLine="4760"/>
        <w:spacing w:line="460" w:lineRule="exact"/>
        <w:rPr>
          <w:rFonts w:ascii="宋体" w:hAnsi="宋体" w:cs="宋体"/>
          <w:sz w:val="28"/>
          <w:szCs w:val="28"/>
        </w:rPr>
      </w:pPr>
      <w:r>
        <w:rPr>
          <w:rFonts w:hint="eastAsia" w:ascii="宋体" w:hAnsi="宋体" w:cs="宋体"/>
          <w:sz w:val="28"/>
          <w:szCs w:val="28"/>
        </w:rPr>
        <w:t xml:space="preserve">日  期：</w:t>
      </w:r>
      <w:r/>
    </w:p>
    <w:p>
      <w:pPr>
        <w:pStyle w:val="913"/>
        <w:spacing w:line="460" w:lineRule="exact"/>
        <w:rPr>
          <w:rFonts w:ascii="宋体" w:hAnsi="宋体" w:cs="宋体"/>
          <w:sz w:val="28"/>
          <w:szCs w:val="28"/>
        </w:rPr>
      </w:pPr>
      <w:r>
        <w:rPr>
          <w:rFonts w:hint="eastAsia" w:ascii="宋体" w:hAnsi="宋体" w:cs="宋体"/>
          <w:sz w:val="28"/>
          <w:szCs w:val="28"/>
        </w:rPr>
        <w:t xml:space="preserve">注：1、从业人员、营业收入填报上一年度数据，无上一年度数据的新成立企业可不填报。</w:t>
      </w:r>
      <w:r/>
    </w:p>
    <w:p>
      <w:pPr>
        <w:ind w:firstLine="560"/>
        <w:spacing w:line="460" w:lineRule="exact"/>
        <w:rPr>
          <w:rFonts w:ascii="宋体" w:hAnsi="宋体" w:cs="宋体"/>
          <w:sz w:val="28"/>
          <w:szCs w:val="28"/>
        </w:rPr>
      </w:pPr>
      <w:r>
        <w:rPr>
          <w:rFonts w:hint="eastAsia" w:ascii="宋体" w:hAnsi="宋体" w:cs="宋体"/>
          <w:sz w:val="28"/>
          <w:szCs w:val="28"/>
        </w:rPr>
        <w:t xml:space="preserve">2、供应商如不提供此声明函，价格将不做相应扣除。</w:t>
      </w:r>
      <w:r/>
    </w:p>
    <w:p>
      <w:pPr>
        <w:ind w:firstLine="560"/>
        <w:spacing w:line="460" w:lineRule="exact"/>
        <w:rPr>
          <w:rFonts w:ascii="宋体" w:hAnsi="宋体" w:cs="宋体"/>
          <w:sz w:val="28"/>
          <w:szCs w:val="28"/>
        </w:rPr>
      </w:pPr>
      <w:r>
        <w:rPr>
          <w:rFonts w:hint="eastAsia" w:ascii="宋体" w:hAnsi="宋体" w:cs="宋体"/>
          <w:sz w:val="28"/>
          <w:szCs w:val="28"/>
        </w:rPr>
        <w:t xml:space="preserve">3、供应商提供的声明函内容不实的，属于提供虚假材料谋取中标，依照《中华人民共和国政府采购法》等国家有关规定追究相应责任。</w:t>
      </w:r>
      <w:r/>
    </w:p>
    <w:p>
      <w:pPr>
        <w:pStyle w:val="912"/>
        <w:ind w:firstLine="560"/>
        <w:spacing w:line="460" w:lineRule="exact"/>
        <w:rPr>
          <w:rFonts w:ascii="宋体" w:hAnsi="宋体" w:eastAsia="宋体" w:cs="宋体"/>
          <w:color w:val="auto"/>
          <w:sz w:val="28"/>
          <w:szCs w:val="28"/>
        </w:rPr>
      </w:pPr>
      <w:r>
        <w:rPr>
          <w:rFonts w:hint="eastAsia" w:ascii="宋体" w:hAnsi="宋体" w:eastAsia="宋体" w:cs="宋体"/>
          <w:color w:val="auto"/>
          <w:sz w:val="28"/>
          <w:szCs w:val="28"/>
        </w:rPr>
        <w:t xml:space="preserve">4</w:t>
      </w:r>
      <w:r>
        <w:rPr>
          <w:rFonts w:ascii="宋体" w:hAnsi="宋体" w:eastAsia="宋体" w:cs="宋体"/>
          <w:color w:val="auto"/>
          <w:sz w:val="28"/>
          <w:szCs w:val="28"/>
        </w:rPr>
        <w:t xml:space="preserve">.</w:t>
      </w:r>
      <w:r>
        <w:rPr>
          <w:rFonts w:hint="eastAsia" w:ascii="宋体" w:hAnsi="宋体" w:eastAsia="宋体" w:cs="宋体"/>
          <w:color w:val="auto"/>
          <w:sz w:val="28"/>
          <w:szCs w:val="28"/>
        </w:rPr>
        <w:t xml:space="preserve">本次采购项目所属行业为工业。</w:t>
      </w:r>
      <w:r/>
    </w:p>
    <w:p>
      <w:pPr>
        <w:jc w:val="left"/>
        <w:spacing w:line="440" w:lineRule="exact"/>
        <w:widowControl/>
        <w:rPr>
          <w:rFonts w:ascii="宋体" w:hAnsi="宋体" w:cs="宋体"/>
          <w:b/>
          <w:sz w:val="28"/>
          <w:szCs w:val="28"/>
        </w:rPr>
      </w:pPr>
      <w:r>
        <w:rPr>
          <w:rFonts w:ascii="宋体" w:hAnsi="宋体" w:cs="宋体"/>
          <w:b/>
          <w:sz w:val="28"/>
          <w:szCs w:val="28"/>
        </w:rPr>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3.5明细报价表（格式自拟）</w:t>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3.6采购需求响应表（格式自拟）</w:t>
      </w:r>
      <w:r/>
    </w:p>
    <w:sectPr>
      <w:footerReference w:type="default" r:id="rId10"/>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黑体">
    <w:panose1 w:val="02010609060101010101"/>
  </w:font>
  <w:font w:name="仿宋_GB2312">
    <w:panose1 w:val="02010609060101010101"/>
  </w:font>
  <w:font w:name="MicrosoftYaHei">
    <w:panose1 w:val="020B0503020204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460182"/>
      <w:rPr/>
    </w:sdtPr>
    <w:sdtContent>
      <w:p>
        <w:pPr>
          <w:pStyle w:val="742"/>
          <w:jc w:val="center"/>
        </w:pPr>
        <w:r>
          <w:fldChar w:fldCharType="begin"/>
        </w:r>
        <w:r>
          <w:instrText xml:space="preserve">PAGE   \* MERGEFORMAT</w:instrText>
        </w:r>
        <w:r>
          <w:fldChar w:fldCharType="separate"/>
        </w:r>
        <w:r>
          <w:rPr>
            <w:lang w:val="zh-CN"/>
          </w:rPr>
          <w:t xml:space="preserve">15</w:t>
        </w:r>
        <w:r>
          <w:fldChar w:fldCharType="end"/>
        </w:r>
        <w:r/>
      </w:p>
    </w:sdtContent>
  </w:sdt>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742"/>
          <w:jc w:val="center"/>
        </w:pPr>
        <w:r>
          <w:fldChar w:fldCharType="begin"/>
        </w:r>
        <w:r>
          <w:instrText xml:space="preserve">PAGE   \* MERGEFORMAT</w:instrText>
        </w:r>
        <w:r>
          <w:fldChar w:fldCharType="separate"/>
        </w:r>
        <w:r>
          <w:rPr>
            <w:lang w:val="zh-CN"/>
          </w:rPr>
          <w:t xml:space="preserve">64</w:t>
        </w:r>
        <w:r>
          <w:fldChar w:fldCharType="end"/>
        </w:r>
        <w:r/>
      </w:p>
    </w:sdtContent>
  </w:sdt>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3 Char"/>
    <w:basedOn w:val="727"/>
    <w:link w:val="720"/>
    <w:uiPriority w:val="9"/>
    <w:rPr>
      <w:rFonts w:ascii="Arial" w:hAnsi="Arial" w:eastAsia="Arial" w:cs="Arial"/>
      <w:sz w:val="30"/>
      <w:szCs w:val="30"/>
    </w:rPr>
  </w:style>
  <w:style w:type="character" w:styleId="685">
    <w:name w:val="Heading 4 Char"/>
    <w:basedOn w:val="727"/>
    <w:link w:val="721"/>
    <w:uiPriority w:val="9"/>
    <w:rPr>
      <w:rFonts w:ascii="Arial" w:hAnsi="Arial" w:eastAsia="Arial" w:cs="Arial"/>
      <w:b/>
      <w:bCs/>
      <w:sz w:val="26"/>
      <w:szCs w:val="26"/>
    </w:rPr>
  </w:style>
  <w:style w:type="character" w:styleId="686">
    <w:name w:val="Heading 5 Char"/>
    <w:basedOn w:val="727"/>
    <w:link w:val="722"/>
    <w:uiPriority w:val="9"/>
    <w:rPr>
      <w:rFonts w:ascii="Arial" w:hAnsi="Arial" w:eastAsia="Arial" w:cs="Arial"/>
      <w:b/>
      <w:bCs/>
      <w:sz w:val="24"/>
      <w:szCs w:val="24"/>
    </w:rPr>
  </w:style>
  <w:style w:type="character" w:styleId="687">
    <w:name w:val="Heading 6 Char"/>
    <w:basedOn w:val="727"/>
    <w:link w:val="723"/>
    <w:uiPriority w:val="9"/>
    <w:rPr>
      <w:rFonts w:ascii="Arial" w:hAnsi="Arial" w:eastAsia="Arial" w:cs="Arial"/>
      <w:b/>
      <w:bCs/>
      <w:sz w:val="22"/>
      <w:szCs w:val="22"/>
    </w:rPr>
  </w:style>
  <w:style w:type="character" w:styleId="688">
    <w:name w:val="Heading 7 Char"/>
    <w:basedOn w:val="727"/>
    <w:link w:val="724"/>
    <w:uiPriority w:val="9"/>
    <w:rPr>
      <w:rFonts w:ascii="Arial" w:hAnsi="Arial" w:eastAsia="Arial" w:cs="Arial"/>
      <w:b/>
      <w:bCs/>
      <w:i/>
      <w:iCs/>
      <w:sz w:val="22"/>
      <w:szCs w:val="22"/>
    </w:rPr>
  </w:style>
  <w:style w:type="character" w:styleId="689">
    <w:name w:val="Heading 8 Char"/>
    <w:basedOn w:val="727"/>
    <w:link w:val="725"/>
    <w:uiPriority w:val="9"/>
    <w:rPr>
      <w:rFonts w:ascii="Arial" w:hAnsi="Arial" w:eastAsia="Arial" w:cs="Arial"/>
      <w:i/>
      <w:iCs/>
      <w:sz w:val="22"/>
      <w:szCs w:val="22"/>
    </w:rPr>
  </w:style>
  <w:style w:type="character" w:styleId="690">
    <w:name w:val="Heading 9 Char"/>
    <w:basedOn w:val="727"/>
    <w:link w:val="726"/>
    <w:uiPriority w:val="9"/>
    <w:rPr>
      <w:rFonts w:ascii="Arial" w:hAnsi="Arial" w:eastAsia="Arial" w:cs="Arial"/>
      <w:i/>
      <w:iCs/>
      <w:sz w:val="21"/>
      <w:szCs w:val="21"/>
    </w:rPr>
  </w:style>
  <w:style w:type="character" w:styleId="691">
    <w:name w:val="Title Char"/>
    <w:basedOn w:val="727"/>
    <w:link w:val="754"/>
    <w:uiPriority w:val="10"/>
    <w:rPr>
      <w:sz w:val="48"/>
      <w:szCs w:val="48"/>
    </w:rPr>
  </w:style>
  <w:style w:type="character" w:styleId="692">
    <w:name w:val="Subtitle Char"/>
    <w:basedOn w:val="727"/>
    <w:link w:val="746"/>
    <w:uiPriority w:val="11"/>
    <w:rPr>
      <w:sz w:val="24"/>
      <w:szCs w:val="24"/>
    </w:rPr>
  </w:style>
  <w:style w:type="character" w:styleId="693">
    <w:name w:val="Quote Char"/>
    <w:link w:val="773"/>
    <w:uiPriority w:val="29"/>
    <w:rPr>
      <w:i/>
    </w:rPr>
  </w:style>
  <w:style w:type="character" w:styleId="694">
    <w:name w:val="Intense Quote Char"/>
    <w:link w:val="775"/>
    <w:uiPriority w:val="30"/>
    <w:rPr>
      <w:i/>
    </w:rPr>
  </w:style>
  <w:style w:type="table" w:styleId="695">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Footnote Text Char"/>
    <w:link w:val="747"/>
    <w:uiPriority w:val="99"/>
    <w:rPr>
      <w:sz w:val="18"/>
    </w:rPr>
  </w:style>
  <w:style w:type="character" w:styleId="715">
    <w:name w:val="Endnote Text Char"/>
    <w:link w:val="740"/>
    <w:uiPriority w:val="99"/>
    <w:rPr>
      <w:sz w:val="20"/>
    </w:rPr>
  </w:style>
  <w:style w:type="paragraph" w:styleId="716">
    <w:name w:val="TOC Heading"/>
    <w:uiPriority w:val="39"/>
    <w:unhideWhenUsed/>
  </w:style>
  <w:style w:type="paragraph" w:styleId="717"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718">
    <w:name w:val="Heading 1"/>
    <w:basedOn w:val="717"/>
    <w:next w:val="717"/>
    <w:uiPriority w:val="0"/>
    <w:qFormat/>
    <w:pPr>
      <w:keepLines/>
      <w:keepNext/>
      <w:spacing w:before="340" w:after="330" w:line="578" w:lineRule="auto"/>
      <w:outlineLvl w:val="0"/>
    </w:pPr>
    <w:rPr>
      <w:b/>
      <w:bCs/>
      <w:sz w:val="44"/>
      <w:szCs w:val="44"/>
    </w:rPr>
  </w:style>
  <w:style w:type="paragraph" w:styleId="719">
    <w:name w:val="Heading 2"/>
    <w:basedOn w:val="717"/>
    <w:next w:val="71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0">
    <w:name w:val="Heading 3"/>
    <w:basedOn w:val="717"/>
    <w:next w:val="717"/>
    <w:link w:val="76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5"/>
    <w:uiPriority w:val="9"/>
    <w:unhideWhenUsed/>
    <w:qFormat/>
    <w:pPr>
      <w:keepLines/>
      <w:keepNext/>
      <w:spacing w:before="320" w:after="200"/>
      <w:outlineLvl w:val="4"/>
    </w:pPr>
    <w:rPr>
      <w:rFonts w:ascii="Arial" w:hAnsi="Arial" w:eastAsia="Arial" w:cs="Arial"/>
      <w:b/>
      <w:bCs/>
    </w:rPr>
  </w:style>
  <w:style w:type="paragraph" w:styleId="723">
    <w:name w:val="Heading 6"/>
    <w:basedOn w:val="717"/>
    <w:next w:val="717"/>
    <w:link w:val="76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9"/>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style>
  <w:style w:type="table" w:styleId="728" w:default="1">
    <w:name w:val="Normal Table"/>
    <w:uiPriority w:val="99"/>
    <w:semiHidden/>
    <w:unhideWhenUsed/>
    <w:tblPr>
      <w:tblCellMar>
        <w:left w:w="108" w:type="dxa"/>
        <w:top w:w="0" w:type="dxa"/>
        <w:right w:w="108" w:type="dxa"/>
        <w:bottom w:w="0" w:type="dxa"/>
      </w:tblCellMar>
    </w:tblPr>
  </w:style>
  <w:style w:type="paragraph" w:styleId="729">
    <w:name w:val="toc 7"/>
    <w:basedOn w:val="717"/>
    <w:next w:val="717"/>
    <w:uiPriority w:val="39"/>
    <w:unhideWhenUsed/>
    <w:qFormat/>
    <w:pPr>
      <w:ind w:left="1701"/>
      <w:spacing w:after="57"/>
    </w:pPr>
  </w:style>
  <w:style w:type="paragraph" w:styleId="730">
    <w:name w:val="Normal Indent"/>
    <w:basedOn w:val="717"/>
    <w:next w:val="717"/>
    <w:uiPriority w:val="99"/>
    <w:qFormat/>
    <w:pPr>
      <w:ind w:firstLine="420"/>
    </w:pPr>
    <w:rPr>
      <w:szCs w:val="21"/>
    </w:r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Document Map"/>
    <w:basedOn w:val="717"/>
    <w:link w:val="918"/>
    <w:uiPriority w:val="99"/>
    <w:unhideWhenUsed/>
    <w:qFormat/>
    <w:rPr>
      <w:rFonts w:ascii="宋体"/>
      <w:sz w:val="18"/>
      <w:szCs w:val="18"/>
    </w:rPr>
  </w:style>
  <w:style w:type="paragraph" w:styleId="733">
    <w:name w:val="annotation text"/>
    <w:basedOn w:val="717"/>
    <w:link w:val="919"/>
    <w:uiPriority w:val="99"/>
    <w:unhideWhenUsed/>
    <w:qFormat/>
    <w:pPr>
      <w:jc w:val="left"/>
    </w:pPr>
  </w:style>
  <w:style w:type="paragraph" w:styleId="734">
    <w:name w:val="Body Text"/>
    <w:basedOn w:val="717"/>
    <w:link w:val="910"/>
    <w:uiPriority w:val="99"/>
    <w:qFormat/>
    <w:pPr>
      <w:spacing w:after="120"/>
    </w:pPr>
  </w:style>
  <w:style w:type="paragraph" w:styleId="735">
    <w:name w:val="Body Text Indent"/>
    <w:basedOn w:val="717"/>
    <w:next w:val="717"/>
    <w:uiPriority w:val="0"/>
    <w:qFormat/>
    <w:pPr>
      <w:ind w:firstLine="435"/>
      <w:spacing w:line="260" w:lineRule="exact"/>
    </w:pPr>
    <w:rPr>
      <w:rFonts w:ascii="Calibri" w:hAnsi="Calibri"/>
      <w:b/>
      <w:bCs/>
      <w:lang w:eastAsia="en-US"/>
    </w:rPr>
  </w:style>
  <w:style w:type="paragraph" w:styleId="736">
    <w:name w:val="toc 5"/>
    <w:basedOn w:val="717"/>
    <w:next w:val="717"/>
    <w:uiPriority w:val="39"/>
    <w:unhideWhenUsed/>
    <w:qFormat/>
    <w:pPr>
      <w:ind w:left="1134"/>
      <w:spacing w:after="57"/>
    </w:pPr>
  </w:style>
  <w:style w:type="paragraph" w:styleId="737">
    <w:name w:val="toc 3"/>
    <w:basedOn w:val="717"/>
    <w:next w:val="717"/>
    <w:uiPriority w:val="39"/>
    <w:unhideWhenUsed/>
    <w:qFormat/>
    <w:pPr>
      <w:ind w:left="567"/>
      <w:spacing w:after="57"/>
    </w:pPr>
  </w:style>
  <w:style w:type="paragraph" w:styleId="738">
    <w:name w:val="Plain Text"/>
    <w:basedOn w:val="717"/>
    <w:uiPriority w:val="99"/>
    <w:qFormat/>
    <w:rPr>
      <w:rFonts w:ascii="宋体" w:hAnsi="Courier New"/>
      <w:szCs w:val="20"/>
    </w:rPr>
  </w:style>
  <w:style w:type="paragraph" w:styleId="739">
    <w:name w:val="toc 8"/>
    <w:basedOn w:val="717"/>
    <w:next w:val="717"/>
    <w:uiPriority w:val="39"/>
    <w:unhideWhenUsed/>
    <w:qFormat/>
    <w:pPr>
      <w:ind w:left="1984"/>
      <w:spacing w:after="57"/>
    </w:pPr>
  </w:style>
  <w:style w:type="paragraph" w:styleId="740">
    <w:name w:val="endnote text"/>
    <w:basedOn w:val="717"/>
    <w:link w:val="906"/>
    <w:uiPriority w:val="99"/>
    <w:semiHidden/>
    <w:unhideWhenUsed/>
    <w:qFormat/>
    <w:rPr>
      <w:sz w:val="20"/>
    </w:rPr>
  </w:style>
  <w:style w:type="paragraph" w:styleId="741">
    <w:name w:val="Balloon Text"/>
    <w:basedOn w:val="717"/>
    <w:link w:val="917"/>
    <w:uiPriority w:val="99"/>
    <w:semiHidden/>
    <w:unhideWhenUsed/>
    <w:qFormat/>
    <w:rPr>
      <w:sz w:val="18"/>
      <w:szCs w:val="18"/>
    </w:rPr>
  </w:style>
  <w:style w:type="paragraph" w:styleId="742">
    <w:name w:val="Footer"/>
    <w:basedOn w:val="717"/>
    <w:link w:val="916"/>
    <w:uiPriority w:val="99"/>
    <w:unhideWhenUsed/>
    <w:qFormat/>
    <w:pPr>
      <w:jc w:val="left"/>
      <w:tabs>
        <w:tab w:val="center" w:pos="4153" w:leader="none"/>
        <w:tab w:val="right" w:pos="8306" w:leader="none"/>
      </w:tabs>
    </w:pPr>
    <w:rPr>
      <w:sz w:val="18"/>
      <w:szCs w:val="18"/>
    </w:rPr>
  </w:style>
  <w:style w:type="paragraph" w:styleId="743">
    <w:name w:val="Header"/>
    <w:basedOn w:val="717"/>
    <w:link w:val="9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7"/>
    <w:next w:val="717"/>
    <w:uiPriority w:val="39"/>
    <w:unhideWhenUsed/>
    <w:qFormat/>
    <w:pPr>
      <w:spacing w:after="57"/>
    </w:pPr>
  </w:style>
  <w:style w:type="paragraph" w:styleId="745">
    <w:name w:val="toc 4"/>
    <w:basedOn w:val="717"/>
    <w:next w:val="717"/>
    <w:uiPriority w:val="39"/>
    <w:unhideWhenUsed/>
    <w:qFormat/>
    <w:pPr>
      <w:ind w:left="850"/>
      <w:spacing w:after="57"/>
    </w:pPr>
  </w:style>
  <w:style w:type="paragraph" w:styleId="746">
    <w:name w:val="Subtitle"/>
    <w:basedOn w:val="717"/>
    <w:next w:val="717"/>
    <w:link w:val="772"/>
    <w:uiPriority w:val="11"/>
    <w:qFormat/>
    <w:pPr>
      <w:spacing w:before="200" w:after="200"/>
    </w:pPr>
  </w:style>
  <w:style w:type="paragraph" w:styleId="747">
    <w:name w:val="footnote text"/>
    <w:basedOn w:val="717"/>
    <w:link w:val="905"/>
    <w:uiPriority w:val="99"/>
    <w:semiHidden/>
    <w:unhideWhenUsed/>
    <w:qFormat/>
    <w:pPr>
      <w:spacing w:after="40"/>
    </w:pPr>
    <w:rPr>
      <w:sz w:val="18"/>
    </w:rPr>
  </w:style>
  <w:style w:type="paragraph" w:styleId="748">
    <w:name w:val="toc 6"/>
    <w:basedOn w:val="717"/>
    <w:next w:val="717"/>
    <w:uiPriority w:val="39"/>
    <w:unhideWhenUsed/>
    <w:qFormat/>
    <w:pPr>
      <w:ind w:left="1417"/>
      <w:spacing w:after="57"/>
    </w:pPr>
  </w:style>
  <w:style w:type="paragraph" w:styleId="749">
    <w:name w:val="Body Text Indent 3"/>
    <w:basedOn w:val="717"/>
    <w:link w:val="911"/>
    <w:uiPriority w:val="99"/>
    <w:qFormat/>
    <w:pPr>
      <w:ind w:left="645" w:firstLine="645"/>
    </w:pPr>
    <w:rPr>
      <w:rFonts w:ascii="Arial" w:hAnsi="Arial" w:eastAsia="仿宋_GB2312"/>
      <w:color w:val="ffff00"/>
      <w:sz w:val="32"/>
      <w:szCs w:val="20"/>
    </w:rPr>
  </w:style>
  <w:style w:type="paragraph" w:styleId="750">
    <w:name w:val="table of figures"/>
    <w:basedOn w:val="717"/>
    <w:next w:val="717"/>
    <w:uiPriority w:val="99"/>
    <w:unhideWhenUsed/>
    <w:qFormat/>
  </w:style>
  <w:style w:type="paragraph" w:styleId="751">
    <w:name w:val="toc 2"/>
    <w:basedOn w:val="717"/>
    <w:next w:val="717"/>
    <w:uiPriority w:val="39"/>
    <w:unhideWhenUsed/>
    <w:qFormat/>
    <w:pPr>
      <w:ind w:left="283"/>
      <w:spacing w:after="57"/>
    </w:pPr>
  </w:style>
  <w:style w:type="paragraph" w:styleId="752">
    <w:name w:val="toc 9"/>
    <w:basedOn w:val="717"/>
    <w:next w:val="717"/>
    <w:uiPriority w:val="39"/>
    <w:unhideWhenUsed/>
    <w:qFormat/>
    <w:pPr>
      <w:ind w:left="2268"/>
      <w:spacing w:after="57"/>
    </w:pPr>
  </w:style>
  <w:style w:type="paragraph" w:styleId="753">
    <w:name w:val="Normal (Web)"/>
    <w:basedOn w:val="717"/>
    <w:uiPriority w:val="99"/>
    <w:qFormat/>
    <w:pPr>
      <w:jc w:val="left"/>
      <w:spacing w:before="150" w:after="150" w:line="480" w:lineRule="auto"/>
    </w:pPr>
    <w:rPr>
      <w:rFonts w:hint="eastAsia" w:ascii="宋体" w:hAnsi="宋体"/>
      <w:color w:val="000000"/>
    </w:rPr>
  </w:style>
  <w:style w:type="paragraph" w:styleId="754">
    <w:name w:val="Title"/>
    <w:basedOn w:val="717"/>
    <w:next w:val="717"/>
    <w:link w:val="771"/>
    <w:uiPriority w:val="10"/>
    <w:qFormat/>
    <w:pPr>
      <w:contextualSpacing/>
      <w:spacing w:before="300" w:after="200"/>
    </w:pPr>
    <w:rPr>
      <w:sz w:val="48"/>
      <w:szCs w:val="48"/>
    </w:rPr>
  </w:style>
  <w:style w:type="paragraph" w:styleId="755">
    <w:name w:val="annotation subject"/>
    <w:basedOn w:val="733"/>
    <w:next w:val="733"/>
    <w:link w:val="920"/>
    <w:uiPriority w:val="99"/>
    <w:semiHidden/>
    <w:unhideWhenUsed/>
    <w:qFormat/>
    <w:rPr>
      <w:b/>
      <w:bCs/>
    </w:rPr>
  </w:style>
  <w:style w:type="table" w:styleId="756">
    <w:name w:val="Table Grid"/>
    <w:basedOn w:val="72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endnote reference"/>
    <w:basedOn w:val="727"/>
    <w:uiPriority w:val="99"/>
    <w:semiHidden/>
    <w:unhideWhenUsed/>
    <w:qFormat/>
    <w:rPr>
      <w:vertAlign w:val="superscript"/>
    </w:rPr>
  </w:style>
  <w:style w:type="character" w:styleId="758">
    <w:name w:val="Hyperlink"/>
    <w:uiPriority w:val="99"/>
    <w:qFormat/>
    <w:rPr>
      <w:rFonts w:cs="Times New Roman"/>
      <w:color w:val="336699"/>
      <w:sz w:val="18"/>
      <w:u w:val="none"/>
    </w:rPr>
  </w:style>
  <w:style w:type="character" w:styleId="759">
    <w:name w:val="annotation reference"/>
    <w:basedOn w:val="727"/>
    <w:uiPriority w:val="99"/>
    <w:semiHidden/>
    <w:unhideWhenUsed/>
    <w:qFormat/>
    <w:rPr>
      <w:sz w:val="21"/>
      <w:szCs w:val="21"/>
    </w:rPr>
  </w:style>
  <w:style w:type="character" w:styleId="760">
    <w:name w:val="footnote reference"/>
    <w:basedOn w:val="727"/>
    <w:uiPriority w:val="99"/>
    <w:unhideWhenUsed/>
    <w:qFormat/>
    <w:rPr>
      <w:vertAlign w:val="superscript"/>
    </w:rPr>
  </w:style>
  <w:style w:type="character" w:styleId="761" w:customStyle="1">
    <w:name w:val="Heading 1 Char"/>
    <w:basedOn w:val="727"/>
    <w:uiPriority w:val="9"/>
    <w:qFormat/>
    <w:rPr>
      <w:rFonts w:ascii="Arial" w:hAnsi="Arial" w:eastAsia="Arial" w:cs="Arial"/>
      <w:sz w:val="40"/>
      <w:szCs w:val="40"/>
    </w:rPr>
  </w:style>
  <w:style w:type="character" w:styleId="762" w:customStyle="1">
    <w:name w:val="Heading 2 Char"/>
    <w:basedOn w:val="727"/>
    <w:uiPriority w:val="9"/>
    <w:qFormat/>
    <w:rPr>
      <w:rFonts w:ascii="Arial" w:hAnsi="Arial" w:eastAsia="Arial" w:cs="Arial"/>
      <w:sz w:val="34"/>
    </w:rPr>
  </w:style>
  <w:style w:type="character" w:styleId="763" w:customStyle="1">
    <w:name w:val="标题 3 字符"/>
    <w:basedOn w:val="727"/>
    <w:link w:val="720"/>
    <w:uiPriority w:val="9"/>
    <w:qFormat/>
    <w:rPr>
      <w:rFonts w:ascii="Arial" w:hAnsi="Arial" w:eastAsia="Arial" w:cs="Arial"/>
      <w:sz w:val="30"/>
      <w:szCs w:val="30"/>
    </w:rPr>
  </w:style>
  <w:style w:type="character" w:styleId="764" w:customStyle="1">
    <w:name w:val="标题 4 字符"/>
    <w:basedOn w:val="727"/>
    <w:link w:val="721"/>
    <w:uiPriority w:val="9"/>
    <w:qFormat/>
    <w:rPr>
      <w:rFonts w:ascii="Arial" w:hAnsi="Arial" w:eastAsia="Arial" w:cs="Arial"/>
      <w:b/>
      <w:bCs/>
      <w:sz w:val="26"/>
      <w:szCs w:val="26"/>
    </w:rPr>
  </w:style>
  <w:style w:type="character" w:styleId="765" w:customStyle="1">
    <w:name w:val="标题 5 字符"/>
    <w:basedOn w:val="727"/>
    <w:link w:val="722"/>
    <w:uiPriority w:val="9"/>
    <w:qFormat/>
    <w:rPr>
      <w:rFonts w:ascii="Arial" w:hAnsi="Arial" w:eastAsia="Arial" w:cs="Arial"/>
      <w:b/>
      <w:bCs/>
      <w:sz w:val="24"/>
      <w:szCs w:val="24"/>
    </w:rPr>
  </w:style>
  <w:style w:type="character" w:styleId="766" w:customStyle="1">
    <w:name w:val="标题 6 字符"/>
    <w:basedOn w:val="727"/>
    <w:link w:val="723"/>
    <w:uiPriority w:val="9"/>
    <w:qFormat/>
    <w:rPr>
      <w:rFonts w:ascii="Arial" w:hAnsi="Arial" w:eastAsia="Arial" w:cs="Arial"/>
      <w:b/>
      <w:bCs/>
      <w:sz w:val="22"/>
      <w:szCs w:val="22"/>
    </w:rPr>
  </w:style>
  <w:style w:type="character" w:styleId="767" w:customStyle="1">
    <w:name w:val="标题 7 字符"/>
    <w:basedOn w:val="727"/>
    <w:link w:val="724"/>
    <w:uiPriority w:val="9"/>
    <w:qFormat/>
    <w:rPr>
      <w:rFonts w:ascii="Arial" w:hAnsi="Arial" w:eastAsia="Arial" w:cs="Arial"/>
      <w:b/>
      <w:bCs/>
      <w:i/>
      <w:iCs/>
      <w:sz w:val="22"/>
      <w:szCs w:val="22"/>
    </w:rPr>
  </w:style>
  <w:style w:type="character" w:styleId="768" w:customStyle="1">
    <w:name w:val="标题 8 字符"/>
    <w:basedOn w:val="727"/>
    <w:link w:val="725"/>
    <w:uiPriority w:val="9"/>
    <w:qFormat/>
    <w:rPr>
      <w:rFonts w:ascii="Arial" w:hAnsi="Arial" w:eastAsia="Arial" w:cs="Arial"/>
      <w:i/>
      <w:iCs/>
      <w:sz w:val="22"/>
      <w:szCs w:val="22"/>
    </w:rPr>
  </w:style>
  <w:style w:type="character" w:styleId="769" w:customStyle="1">
    <w:name w:val="标题 9 字符"/>
    <w:basedOn w:val="727"/>
    <w:link w:val="726"/>
    <w:uiPriority w:val="9"/>
    <w:qFormat/>
    <w:rPr>
      <w:rFonts w:ascii="Arial" w:hAnsi="Arial" w:eastAsia="Arial" w:cs="Arial"/>
      <w:i/>
      <w:iCs/>
      <w:sz w:val="21"/>
      <w:szCs w:val="21"/>
    </w:rPr>
  </w:style>
  <w:style w:type="paragraph" w:styleId="770">
    <w:name w:val="No Spacing"/>
    <w:uiPriority w:val="1"/>
    <w:qFormat/>
    <w:rPr>
      <w:rFonts w:ascii="Times New Roman" w:hAnsi="Times New Roman" w:eastAsia="宋体" w:cs="Times New Roman"/>
      <w:lang w:val="en-US" w:eastAsia="zh-CN" w:bidi="ar-SA"/>
    </w:rPr>
  </w:style>
  <w:style w:type="character" w:styleId="771" w:customStyle="1">
    <w:name w:val="标题 字符"/>
    <w:basedOn w:val="727"/>
    <w:link w:val="754"/>
    <w:uiPriority w:val="10"/>
    <w:qFormat/>
    <w:rPr>
      <w:sz w:val="48"/>
      <w:szCs w:val="48"/>
    </w:rPr>
  </w:style>
  <w:style w:type="character" w:styleId="772" w:customStyle="1">
    <w:name w:val="副标题 字符"/>
    <w:basedOn w:val="727"/>
    <w:link w:val="746"/>
    <w:uiPriority w:val="11"/>
    <w:qFormat/>
    <w:rPr>
      <w:sz w:val="24"/>
      <w:szCs w:val="24"/>
    </w:rPr>
  </w:style>
  <w:style w:type="paragraph" w:styleId="773">
    <w:name w:val="Quote"/>
    <w:basedOn w:val="717"/>
    <w:next w:val="717"/>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717"/>
    <w:next w:val="717"/>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727"/>
    <w:uiPriority w:val="99"/>
    <w:qFormat/>
  </w:style>
  <w:style w:type="character" w:styleId="778" w:customStyle="1">
    <w:name w:val="Footer Char"/>
    <w:basedOn w:val="727"/>
    <w:uiPriority w:val="99"/>
    <w:qFormat/>
  </w:style>
  <w:style w:type="character" w:styleId="779" w:customStyle="1">
    <w:name w:val="Caption Char"/>
    <w:uiPriority w:val="99"/>
    <w:qFormat/>
  </w:style>
  <w:style w:type="table" w:styleId="780" w:customStyle="1">
    <w:name w:val="Table Grid Light"/>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72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72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72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2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2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72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7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2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72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2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2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2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2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2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2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2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2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7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72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72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72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72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72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basedOn w:val="7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72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72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72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2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2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字符"/>
    <w:link w:val="747"/>
    <w:uiPriority w:val="99"/>
    <w:qFormat/>
    <w:rPr>
      <w:sz w:val="18"/>
    </w:rPr>
  </w:style>
  <w:style w:type="character" w:styleId="906" w:customStyle="1">
    <w:name w:val="尾注文本 字符"/>
    <w:link w:val="740"/>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character" w:styleId="908" w:customStyle="1">
    <w:name w:val="正文文本 Char"/>
    <w:basedOn w:val="727"/>
    <w:uiPriority w:val="99"/>
    <w:semiHidden/>
    <w:qFormat/>
    <w:rPr>
      <w:rFonts w:ascii="Times New Roman" w:hAnsi="Times New Roman" w:eastAsia="宋体" w:cs="Times New Roman"/>
      <w:sz w:val="24"/>
      <w:szCs w:val="24"/>
    </w:rPr>
  </w:style>
  <w:style w:type="character" w:styleId="909" w:customStyle="1">
    <w:name w:val="正文文本缩进 3 Char"/>
    <w:basedOn w:val="727"/>
    <w:uiPriority w:val="99"/>
    <w:semiHidden/>
    <w:qFormat/>
    <w:rPr>
      <w:rFonts w:ascii="Times New Roman" w:hAnsi="Times New Roman" w:eastAsia="宋体" w:cs="Times New Roman"/>
      <w:sz w:val="16"/>
      <w:szCs w:val="16"/>
    </w:rPr>
  </w:style>
  <w:style w:type="character" w:styleId="910" w:customStyle="1">
    <w:name w:val="正文文本 字符"/>
    <w:link w:val="734"/>
    <w:uiPriority w:val="99"/>
    <w:qFormat/>
    <w:rPr>
      <w:rFonts w:ascii="Times New Roman" w:hAnsi="Times New Roman" w:eastAsia="宋体" w:cs="Times New Roman"/>
      <w:sz w:val="24"/>
      <w:szCs w:val="24"/>
    </w:rPr>
  </w:style>
  <w:style w:type="character" w:styleId="911" w:customStyle="1">
    <w:name w:val="正文文本缩进 3 字符"/>
    <w:link w:val="749"/>
    <w:uiPriority w:val="99"/>
    <w:qFormat/>
    <w:rPr>
      <w:rFonts w:ascii="Arial" w:hAnsi="Arial" w:eastAsia="仿宋_GB2312" w:cs="Times New Roman"/>
      <w:color w:val="ffff00"/>
      <w:sz w:val="32"/>
      <w:szCs w:val="20"/>
    </w:rPr>
  </w:style>
  <w:style w:type="paragraph" w:styleId="912" w:customStyle="1">
    <w:name w:val="Default"/>
    <w:next w:val="717"/>
    <w:uiPriority w:val="99"/>
    <w:qFormat/>
    <w:pPr>
      <w:widowControl w:val="off"/>
    </w:pPr>
    <w:rPr>
      <w:rFonts w:ascii="仿宋" w:hAnsi="Times New Roman" w:eastAsia="仿宋" w:cs="仿宋"/>
      <w:color w:val="000000"/>
      <w:sz w:val="24"/>
      <w:szCs w:val="24"/>
      <w:lang w:val="en-US" w:eastAsia="zh-CN" w:bidi="ar-SA"/>
    </w:rPr>
  </w:style>
  <w:style w:type="paragraph" w:styleId="913" w:customStyle="1">
    <w:name w:val="WPS Plain"/>
    <w:uiPriority w:val="0"/>
    <w:qFormat/>
    <w:rPr>
      <w:rFonts w:ascii="Times New Roman" w:hAnsi="Times New Roman" w:eastAsia="宋体" w:cs="Times New Roman"/>
      <w:lang w:val="en-US" w:eastAsia="zh-CN" w:bidi="ar-SA"/>
    </w:rPr>
  </w:style>
  <w:style w:type="paragraph" w:styleId="914">
    <w:name w:val="List Paragraph"/>
    <w:basedOn w:val="717"/>
    <w:uiPriority w:val="34"/>
    <w:qFormat/>
    <w:pPr>
      <w:ind w:firstLine="420"/>
    </w:pPr>
    <w:rPr>
      <w:rFonts w:eastAsia="Times New Roman"/>
    </w:rPr>
  </w:style>
  <w:style w:type="character" w:styleId="915" w:customStyle="1">
    <w:name w:val="页眉 字符"/>
    <w:basedOn w:val="727"/>
    <w:link w:val="743"/>
    <w:uiPriority w:val="99"/>
    <w:qFormat/>
    <w:rPr>
      <w:rFonts w:ascii="Times New Roman" w:hAnsi="Times New Roman" w:eastAsia="宋体" w:cs="Times New Roman"/>
      <w:sz w:val="18"/>
      <w:szCs w:val="18"/>
    </w:rPr>
  </w:style>
  <w:style w:type="character" w:styleId="916" w:customStyle="1">
    <w:name w:val="页脚 字符"/>
    <w:basedOn w:val="727"/>
    <w:link w:val="742"/>
    <w:uiPriority w:val="99"/>
    <w:qFormat/>
    <w:rPr>
      <w:rFonts w:ascii="Times New Roman" w:hAnsi="Times New Roman" w:eastAsia="宋体" w:cs="Times New Roman"/>
      <w:sz w:val="18"/>
      <w:szCs w:val="18"/>
    </w:rPr>
  </w:style>
  <w:style w:type="character" w:styleId="917" w:customStyle="1">
    <w:name w:val="批注框文本 字符"/>
    <w:basedOn w:val="727"/>
    <w:link w:val="741"/>
    <w:uiPriority w:val="99"/>
    <w:semiHidden/>
    <w:qFormat/>
    <w:rPr>
      <w:rFonts w:ascii="Times New Roman" w:hAnsi="Times New Roman" w:eastAsia="宋体" w:cs="Times New Roman"/>
      <w:sz w:val="18"/>
      <w:szCs w:val="18"/>
    </w:rPr>
  </w:style>
  <w:style w:type="character" w:styleId="918" w:customStyle="1">
    <w:name w:val="文档结构图 字符"/>
    <w:basedOn w:val="727"/>
    <w:link w:val="732"/>
    <w:uiPriority w:val="99"/>
    <w:qFormat/>
    <w:rPr>
      <w:rFonts w:ascii="宋体" w:hAnsi="Times New Roman" w:eastAsia="宋体" w:cs="Times New Roman"/>
      <w:sz w:val="18"/>
      <w:szCs w:val="18"/>
    </w:rPr>
  </w:style>
  <w:style w:type="character" w:styleId="919" w:customStyle="1">
    <w:name w:val="批注文字 字符"/>
    <w:basedOn w:val="727"/>
    <w:link w:val="733"/>
    <w:uiPriority w:val="99"/>
    <w:qFormat/>
    <w:rPr>
      <w:rFonts w:ascii="Times New Roman" w:hAnsi="Times New Roman" w:eastAsia="宋体" w:cs="Times New Roman"/>
      <w:sz w:val="24"/>
      <w:szCs w:val="24"/>
    </w:rPr>
  </w:style>
  <w:style w:type="character" w:styleId="920" w:customStyle="1">
    <w:name w:val="批注主题 字符"/>
    <w:basedOn w:val="919"/>
    <w:link w:val="755"/>
    <w:uiPriority w:val="99"/>
    <w:semiHidden/>
    <w:qFormat/>
    <w:rPr>
      <w:rFonts w:ascii="Times New Roman" w:hAnsi="Times New Roman" w:eastAsia="宋体" w:cs="Times New Roman"/>
      <w:b/>
      <w:bCs/>
      <w:sz w:val="24"/>
      <w:szCs w:val="24"/>
    </w:rPr>
  </w:style>
  <w:style w:type="paragraph" w:styleId="921" w:customStyle="1">
    <w:name w:val="正文首行缩进2字符"/>
    <w:basedOn w:val="717"/>
    <w:uiPriority w:val="0"/>
    <w:qFormat/>
    <w:pPr>
      <w:ind w:firstLine="482"/>
    </w:pPr>
  </w:style>
  <w:style w:type="character" w:styleId="922" w:customStyle="1">
    <w:name w:val="current"/>
    <w:basedOn w:val="727"/>
    <w:uiPriority w:val="0"/>
    <w:qFormat/>
    <w:rPr>
      <w:b/>
      <w:bCs/>
      <w:color w:val="05a7d8"/>
      <w:sz w:val="18"/>
      <w:szCs w:val="18"/>
    </w:rPr>
  </w:style>
  <w:style w:type="character" w:styleId="923" w:customStyle="1">
    <w:name w:val="l-btn-left"/>
    <w:basedOn w:val="727"/>
    <w:uiPriority w:val="0"/>
    <w:qFormat/>
  </w:style>
  <w:style w:type="character" w:styleId="924" w:customStyle="1">
    <w:name w:val="l-btn-text36"/>
    <w:basedOn w:val="727"/>
    <w:uiPriority w:val="0"/>
    <w:qFormat/>
  </w:style>
  <w:style w:type="character" w:styleId="925" w:customStyle="1">
    <w:name w:val="l-btn-text"/>
    <w:basedOn w:val="727"/>
    <w:uiPriority w:val="0"/>
    <w:qFormat/>
  </w:style>
  <w:style w:type="character" w:styleId="926" w:customStyle="1">
    <w:name w:val="grame"/>
    <w:basedOn w:val="727"/>
    <w:uiPriority w:val="0"/>
    <w:qFormat/>
  </w:style>
  <w:style w:type="paragraph" w:styleId="927" w:customStyle="1">
    <w:name w:val="标准文本"/>
    <w:basedOn w:val="717"/>
    <w:uiPriority w:val="0"/>
    <w:qFormat/>
    <w:pPr>
      <w:ind w:firstLine="480"/>
      <w:spacing w:line="360" w:lineRule="auto"/>
    </w:pPr>
    <w:rPr>
      <w:rFonts w:cs="宋体"/>
      <w:szCs w:val="20"/>
    </w:rPr>
  </w:style>
  <w:style w:type="paragraph" w:styleId="928"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929" w:customStyle="1">
    <w:name w:val="Table Normal"/>
    <w:uiPriority w:val="0"/>
    <w:semiHidden/>
    <w:unhideWhenUsed/>
    <w:qFormat/>
    <w:tblPr>
      <w:tblCellMar>
        <w:left w:w="0" w:type="dxa"/>
        <w:top w:w="0" w:type="dxa"/>
        <w:right w:w="0" w:type="dxa"/>
        <w:bottom w:w="0" w:type="dxa"/>
      </w:tblCellMar>
    </w:tblPr>
  </w:style>
  <w:style w:type="paragraph" w:styleId="930" w:customStyle="1">
    <w:name w:val="Table Text"/>
    <w:basedOn w:val="717"/>
    <w:uiPriority w:val="0"/>
    <w:semiHidden/>
    <w:qFormat/>
    <w:rPr>
      <w:rFonts w:ascii="宋体" w:hAnsi="宋体" w:cs="宋体"/>
      <w:sz w:val="28"/>
      <w:szCs w:val="28"/>
      <w:lang w:eastAsia="en-US"/>
    </w:rPr>
  </w:style>
  <w:style w:type="character" w:styleId="931" w:customStyle="1">
    <w:name w:val="font41"/>
    <w:basedOn w:val="727"/>
    <w:uiPriority w:val="0"/>
    <w:qFormat/>
    <w:rPr>
      <w:rFonts w:hint="eastAsia" w:ascii="仿宋" w:hAnsi="仿宋" w:eastAsia="仿宋" w:cs="仿宋"/>
      <w:color w:val="000000"/>
      <w:sz w:val="24"/>
      <w:szCs w:val="24"/>
      <w:u w:val="none"/>
    </w:rPr>
  </w:style>
  <w:style w:type="character" w:styleId="932" w:customStyle="1">
    <w:name w:val="font121"/>
    <w:basedOn w:val="727"/>
    <w:uiPriority w:val="0"/>
    <w:qFormat/>
    <w:rPr>
      <w:rFonts w:hint="default" w:ascii="Times New Roman" w:hAnsi="Times New Roman" w:cs="Times New Roman"/>
      <w:color w:val="000000"/>
      <w:sz w:val="24"/>
      <w:szCs w:val="24"/>
      <w:u w:val="none"/>
    </w:rPr>
  </w:style>
  <w:style w:type="character" w:styleId="933" w:customStyle="1">
    <w:name w:val="font131"/>
    <w:basedOn w:val="727"/>
    <w:uiPriority w:val="0"/>
    <w:qFormat/>
    <w:rPr>
      <w:rFonts w:hint="eastAsia" w:ascii="宋体" w:hAnsi="宋体" w:eastAsia="宋体" w:cs="宋体"/>
      <w:color w:val="000000"/>
      <w:sz w:val="24"/>
      <w:szCs w:val="24"/>
      <w:u w:val="none"/>
    </w:rPr>
  </w:style>
  <w:style w:type="character" w:styleId="934" w:customStyle="1">
    <w:name w:val="font141"/>
    <w:basedOn w:val="727"/>
    <w:uiPriority w:val="0"/>
    <w:qFormat/>
    <w:rPr>
      <w:rFonts w:ascii="Arial" w:hAnsi="Arial" w:cs="Arial"/>
      <w:color w:val="000000"/>
      <w:sz w:val="24"/>
      <w:szCs w:val="24"/>
      <w:u w:val="none"/>
    </w:rPr>
  </w:style>
  <w:style w:type="character" w:styleId="935" w:customStyle="1">
    <w:name w:val="font151"/>
    <w:basedOn w:val="727"/>
    <w:uiPriority w:val="0"/>
    <w:qFormat/>
    <w:rPr>
      <w:rFonts w:ascii="宋体" w:hAnsi="宋体" w:eastAsia="宋体" w:cs="宋体"/>
      <w:color w:val="000000"/>
      <w:sz w:val="24"/>
      <w:szCs w:val="24"/>
      <w:u w:val="none"/>
    </w:rPr>
  </w:style>
  <w:style w:type="paragraph" w:styleId="936" w:customStyle="1">
    <w:name w:val="纯文本12"/>
    <w:basedOn w:val="717"/>
    <w:uiPriority w:val="0"/>
    <w:qFormat/>
    <w:rPr>
      <w:rFonts w:hint="eastAsia" w:ascii="宋体" w:hAnsi="Courier New" w:eastAsia="楷体_GB2312"/>
      <w:sz w:val="28"/>
      <w:szCs w:val="20"/>
    </w:rPr>
  </w:style>
  <w:style w:type="character" w:styleId="937" w:customStyle="1">
    <w:name w:val="fontstyle01"/>
    <w:basedOn w:val="727"/>
    <w:uiPriority w:val="0"/>
    <w:qFormat/>
    <w:rPr>
      <w:rFonts w:hint="default" w:ascii="MicrosoftYaHei" w:hAnsi="MicrosoftYaHei"/>
      <w:color w:val="000000"/>
      <w:sz w:val="14"/>
      <w:szCs w:val="14"/>
    </w:rPr>
  </w:style>
  <w:style w:type="character" w:styleId="938" w:customStyle="1">
    <w:name w:val="fontstyle21"/>
    <w:basedOn w:val="727"/>
    <w:uiPriority w:val="0"/>
    <w:qFormat/>
    <w:rPr>
      <w:rFonts w:hint="eastAsia" w:ascii="宋体" w:hAnsi="宋体" w:eastAsia="宋体"/>
      <w:color w:val="000000"/>
      <w:sz w:val="16"/>
      <w:szCs w:val="16"/>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55814-458B-42DE-81A9-24BEB97A6F5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黄雪峰</cp:lastModifiedBy>
  <cp:revision>75</cp:revision>
  <dcterms:created xsi:type="dcterms:W3CDTF">2025-11-07T10:10:00Z</dcterms:created>
  <dcterms:modified xsi:type="dcterms:W3CDTF">2025-11-17T08:00:48Z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9CE620B0B9CE4052A0958992A6EB1D19_13</vt:lpwstr>
  </property>
  <property fmtid="{D5CDD505-2E9C-101B-9397-08002B2CF9AE}" pid="4" name="KSOTemplateDocerSaveRecord">
    <vt:lpwstr>eyJoZGlkIjoiYmJmNmI3MzhhYzUyOWJlY2Q0ZTRhNjg0YmUxNzRkOWMiLCJ1c2VySWQiOiI3OTE4MTIzMzQifQ==</vt:lpwstr>
  </property>
</Properties>
</file>